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1D2B" w14:textId="77777777" w:rsidR="00033D8D" w:rsidRPr="00375922" w:rsidRDefault="00033D8D" w:rsidP="00AD5D3A">
      <w:pPr>
        <w:adjustRightInd w:val="0"/>
        <w:ind w:right="59"/>
        <w:jc w:val="right"/>
        <w:rPr>
          <w:b/>
          <w:bCs/>
          <w:sz w:val="20"/>
        </w:rPr>
      </w:pPr>
      <w:r w:rsidRPr="00375922">
        <w:rPr>
          <w:b/>
          <w:bCs/>
          <w:sz w:val="20"/>
        </w:rPr>
        <w:t>ANNEXE 1</w:t>
      </w:r>
    </w:p>
    <w:p w14:paraId="64D0AC99" w14:textId="77777777" w:rsidR="00A24C02" w:rsidRPr="00375922" w:rsidRDefault="00A24C02" w:rsidP="0000613B">
      <w:pPr>
        <w:pStyle w:val="SIGN"/>
        <w:pBdr>
          <w:bottom w:val="single" w:sz="4" w:space="1" w:color="0325B5"/>
        </w:pBdr>
        <w:ind w:left="284" w:hanging="284"/>
        <w:jc w:val="both"/>
        <w:rPr>
          <w:smallCaps/>
        </w:rPr>
      </w:pPr>
    </w:p>
    <w:p w14:paraId="347A4957" w14:textId="4C1DFE33" w:rsidR="00033D8D" w:rsidRPr="001E5A39" w:rsidRDefault="0000613B" w:rsidP="0000613B">
      <w:pPr>
        <w:pStyle w:val="SIGN"/>
        <w:pBdr>
          <w:bottom w:val="single" w:sz="4" w:space="1" w:color="0325B5"/>
        </w:pBdr>
        <w:ind w:left="284" w:hanging="284"/>
        <w:jc w:val="both"/>
        <w:rPr>
          <w:b/>
          <w:smallCaps/>
          <w:sz w:val="22"/>
        </w:rPr>
      </w:pPr>
      <w:r w:rsidRPr="001E5A39">
        <w:rPr>
          <w:b/>
          <w:smallCaps/>
          <w:sz w:val="22"/>
        </w:rPr>
        <w:t>CALENDRIER</w:t>
      </w:r>
    </w:p>
    <w:p w14:paraId="525C6DB0" w14:textId="77777777" w:rsidR="00033D8D" w:rsidRDefault="00033D8D" w:rsidP="00033D8D">
      <w:pPr>
        <w:pStyle w:val="SIGN"/>
        <w:ind w:left="0"/>
        <w:jc w:val="both"/>
        <w:rPr>
          <w:bCs/>
        </w:rPr>
      </w:pPr>
    </w:p>
    <w:p w14:paraId="3EE8E609" w14:textId="77777777" w:rsidR="00FA0EE6" w:rsidRDefault="00033D8D" w:rsidP="00033D8D">
      <w:pPr>
        <w:pStyle w:val="SIGN"/>
        <w:ind w:left="0"/>
        <w:jc w:val="both"/>
      </w:pPr>
      <w:r>
        <w:t xml:space="preserve">Les dossiers de demande </w:t>
      </w:r>
      <w:r w:rsidR="00C85E23">
        <w:t xml:space="preserve">de congé bonifié </w:t>
      </w:r>
      <w:r w:rsidR="0011479C">
        <w:t>dûment remplis et signés par les demandeurs,</w:t>
      </w:r>
      <w:r w:rsidR="00AE7ADC">
        <w:t xml:space="preserve"> </w:t>
      </w:r>
      <w:r>
        <w:t>devront être</w:t>
      </w:r>
      <w:r w:rsidR="00FA0EE6">
        <w:t xml:space="preserve"> : </w:t>
      </w:r>
    </w:p>
    <w:p w14:paraId="07CDACBB" w14:textId="77777777" w:rsidR="00FA0EE6" w:rsidRPr="00382887" w:rsidRDefault="00FA0EE6" w:rsidP="00033D8D">
      <w:pPr>
        <w:pStyle w:val="SIGN"/>
        <w:ind w:left="0"/>
        <w:jc w:val="both"/>
        <w:rPr>
          <w:sz w:val="12"/>
        </w:rPr>
      </w:pPr>
    </w:p>
    <w:p w14:paraId="78684404" w14:textId="77777777" w:rsidR="00C85E23" w:rsidRDefault="00033D8D" w:rsidP="00FA0EE6">
      <w:pPr>
        <w:pStyle w:val="SIGN"/>
        <w:numPr>
          <w:ilvl w:val="0"/>
          <w:numId w:val="14"/>
        </w:numPr>
        <w:ind w:left="709" w:hanging="284"/>
        <w:jc w:val="both"/>
      </w:pPr>
      <w:r>
        <w:t>visés par le supérieur hiérarchique</w:t>
      </w:r>
      <w:r w:rsidR="00FA0EE6">
        <w:t xml:space="preserve"> qui validera, eu égard aux nécessités de service, les dates de départ et de retour sollicitées</w:t>
      </w:r>
      <w:r>
        <w:t xml:space="preserve"> (annexes 2 </w:t>
      </w:r>
      <w:r w:rsidR="00570EB0">
        <w:t>et 3</w:t>
      </w:r>
      <w:r>
        <w:t xml:space="preserve">). </w:t>
      </w:r>
    </w:p>
    <w:p w14:paraId="53065599" w14:textId="77777777" w:rsidR="00FA0EE6" w:rsidRPr="0085682C" w:rsidRDefault="00FA0EE6" w:rsidP="00FA0EE6">
      <w:pPr>
        <w:pStyle w:val="SIGN"/>
        <w:ind w:left="360"/>
        <w:jc w:val="both"/>
        <w:rPr>
          <w:sz w:val="12"/>
        </w:rPr>
      </w:pPr>
    </w:p>
    <w:p w14:paraId="350EAA12" w14:textId="77777777" w:rsidR="00FA0EE6" w:rsidRPr="006B15CF" w:rsidRDefault="009F01A6" w:rsidP="00FA0EE6">
      <w:pPr>
        <w:pStyle w:val="SIGN"/>
        <w:numPr>
          <w:ilvl w:val="0"/>
          <w:numId w:val="14"/>
        </w:numPr>
        <w:ind w:left="709" w:hanging="284"/>
        <w:jc w:val="both"/>
        <w:rPr>
          <w:spacing w:val="-4"/>
        </w:rPr>
      </w:pPr>
      <w:r w:rsidRPr="006B15CF">
        <w:rPr>
          <w:spacing w:val="-4"/>
        </w:rPr>
        <w:t>adressés</w:t>
      </w:r>
      <w:r w:rsidR="00FA0EE6" w:rsidRPr="006B15CF">
        <w:rPr>
          <w:spacing w:val="-4"/>
        </w:rPr>
        <w:t xml:space="preserve"> au </w:t>
      </w:r>
      <w:r w:rsidR="00F73B87" w:rsidRPr="006B15CF">
        <w:rPr>
          <w:spacing w:val="-4"/>
          <w:sz w:val="18"/>
        </w:rPr>
        <w:t>RECTORAT / BUREAU</w:t>
      </w:r>
      <w:r w:rsidR="00FA0EE6" w:rsidRPr="006B15CF">
        <w:rPr>
          <w:spacing w:val="-4"/>
          <w:sz w:val="18"/>
        </w:rPr>
        <w:t xml:space="preserve"> </w:t>
      </w:r>
      <w:r w:rsidR="00FA0EE6" w:rsidRPr="006B15CF">
        <w:rPr>
          <w:b/>
          <w:spacing w:val="-4"/>
          <w:sz w:val="18"/>
        </w:rPr>
        <w:t>DAFIL 1</w:t>
      </w:r>
      <w:r w:rsidR="00FA0EE6" w:rsidRPr="006B15CF">
        <w:rPr>
          <w:spacing w:val="-4"/>
        </w:rPr>
        <w:t xml:space="preserve">, </w:t>
      </w:r>
      <w:r w:rsidR="006B15CF" w:rsidRPr="006B15CF">
        <w:rPr>
          <w:spacing w:val="-4"/>
        </w:rPr>
        <w:t xml:space="preserve">accompagnés </w:t>
      </w:r>
      <w:r w:rsidR="00F73B87" w:rsidRPr="006B15CF">
        <w:rPr>
          <w:spacing w:val="-4"/>
        </w:rPr>
        <w:t>des</w:t>
      </w:r>
      <w:r w:rsidR="00FA0EE6" w:rsidRPr="006B15CF">
        <w:rPr>
          <w:spacing w:val="-4"/>
        </w:rPr>
        <w:t xml:space="preserve"> pièces justificatives, selon le calendrier suivant :</w:t>
      </w:r>
    </w:p>
    <w:p w14:paraId="0E9F4610" w14:textId="77777777" w:rsidR="00033D8D" w:rsidRPr="00E7126D" w:rsidRDefault="00033D8D" w:rsidP="00033D8D">
      <w:pPr>
        <w:adjustRightInd w:val="0"/>
        <w:jc w:val="both"/>
        <w:rPr>
          <w:sz w:val="12"/>
        </w:rPr>
      </w:pPr>
    </w:p>
    <w:p w14:paraId="0F4F9F45" w14:textId="77777777" w:rsidR="00AD5D3A" w:rsidRPr="00E7126D" w:rsidRDefault="00AD5D3A" w:rsidP="00033D8D">
      <w:pPr>
        <w:adjustRightInd w:val="0"/>
        <w:jc w:val="both"/>
        <w:rPr>
          <w:sz w:val="12"/>
        </w:rPr>
      </w:pPr>
    </w:p>
    <w:tbl>
      <w:tblPr>
        <w:tblW w:w="9923" w:type="dxa"/>
        <w:jc w:val="center"/>
        <w:tblBorders>
          <w:top w:val="single" w:sz="4" w:space="0" w:color="002F8E"/>
          <w:left w:val="single" w:sz="4" w:space="0" w:color="002F8E"/>
          <w:bottom w:val="single" w:sz="4" w:space="0" w:color="002F8E"/>
          <w:right w:val="single" w:sz="4" w:space="0" w:color="002F8E"/>
          <w:insideH w:val="single" w:sz="4" w:space="0" w:color="002F8E"/>
          <w:insideV w:val="single" w:sz="4" w:space="0" w:color="002F8E"/>
        </w:tblBorders>
        <w:tblLayout w:type="fixed"/>
        <w:tblLook w:val="04A0" w:firstRow="1" w:lastRow="0" w:firstColumn="1" w:lastColumn="0" w:noHBand="0" w:noVBand="1"/>
      </w:tblPr>
      <w:tblGrid>
        <w:gridCol w:w="4820"/>
        <w:gridCol w:w="5103"/>
      </w:tblGrid>
      <w:tr w:rsidR="00FC1419" w:rsidRPr="00FC1419" w14:paraId="5DCEF101" w14:textId="77777777" w:rsidTr="00760D6F">
        <w:trPr>
          <w:trHeight w:val="530"/>
          <w:jc w:val="center"/>
        </w:trPr>
        <w:tc>
          <w:tcPr>
            <w:tcW w:w="4820" w:type="dxa"/>
            <w:tcBorders>
              <w:top w:val="single" w:sz="4" w:space="0" w:color="002F8E"/>
              <w:left w:val="single" w:sz="4" w:space="0" w:color="002F8E"/>
              <w:bottom w:val="single" w:sz="4" w:space="0" w:color="002F8E"/>
              <w:right w:val="single" w:sz="4" w:space="0" w:color="FFFFFF" w:themeColor="background1"/>
            </w:tcBorders>
            <w:shd w:val="clear" w:color="auto" w:fill="002E8A"/>
            <w:vAlign w:val="center"/>
          </w:tcPr>
          <w:p w14:paraId="7C9DCA2B" w14:textId="77777777" w:rsidR="00033D8D" w:rsidRPr="00FC1419" w:rsidRDefault="00033D8D" w:rsidP="009678D7">
            <w:pPr>
              <w:adjustRightInd w:val="0"/>
              <w:jc w:val="center"/>
              <w:rPr>
                <w:b/>
                <w:color w:val="FFFFFF" w:themeColor="background1"/>
                <w:sz w:val="20"/>
              </w:rPr>
            </w:pPr>
            <w:r w:rsidRPr="00FC1419">
              <w:rPr>
                <w:b/>
                <w:color w:val="FFFFFF" w:themeColor="background1"/>
                <w:sz w:val="20"/>
              </w:rPr>
              <w:t>DATE DE DEPART :</w:t>
            </w:r>
          </w:p>
        </w:tc>
        <w:tc>
          <w:tcPr>
            <w:tcW w:w="5103" w:type="dxa"/>
            <w:tcBorders>
              <w:left w:val="single" w:sz="4" w:space="0" w:color="FFFFFF" w:themeColor="background1"/>
            </w:tcBorders>
            <w:shd w:val="clear" w:color="auto" w:fill="002E8A"/>
            <w:vAlign w:val="center"/>
          </w:tcPr>
          <w:p w14:paraId="4C61C4FD" w14:textId="77777777" w:rsidR="00033D8D" w:rsidRPr="00FC1419" w:rsidRDefault="00033D8D" w:rsidP="009678D7">
            <w:pPr>
              <w:adjustRightInd w:val="0"/>
              <w:jc w:val="center"/>
              <w:rPr>
                <w:b/>
                <w:color w:val="FFFFFF" w:themeColor="background1"/>
                <w:sz w:val="20"/>
              </w:rPr>
            </w:pPr>
            <w:r w:rsidRPr="00FC1419">
              <w:rPr>
                <w:b/>
                <w:color w:val="FFFFFF" w:themeColor="background1"/>
                <w:sz w:val="20"/>
              </w:rPr>
              <w:t>RETOUR DES DOSSIERS COMPLETS :</w:t>
            </w:r>
          </w:p>
        </w:tc>
      </w:tr>
      <w:tr w:rsidR="00033D8D" w:rsidRPr="00F7464F" w14:paraId="6474CC2C" w14:textId="77777777" w:rsidTr="00760D6F">
        <w:trPr>
          <w:trHeight w:val="603"/>
          <w:jc w:val="center"/>
        </w:trPr>
        <w:tc>
          <w:tcPr>
            <w:tcW w:w="4820" w:type="dxa"/>
            <w:tcBorders>
              <w:top w:val="single" w:sz="4" w:space="0" w:color="002F8E"/>
            </w:tcBorders>
            <w:vAlign w:val="center"/>
          </w:tcPr>
          <w:p w14:paraId="67009E0F" w14:textId="77777777" w:rsidR="00033D8D" w:rsidRPr="00FC1419" w:rsidRDefault="00033D8D" w:rsidP="009678D7">
            <w:pPr>
              <w:adjustRightInd w:val="0"/>
              <w:spacing w:line="276" w:lineRule="auto"/>
              <w:jc w:val="center"/>
              <w:rPr>
                <w:sz w:val="20"/>
                <w:u w:val="single"/>
              </w:rPr>
            </w:pPr>
            <w:r w:rsidRPr="00FC1419">
              <w:rPr>
                <w:sz w:val="20"/>
                <w:u w:val="single"/>
              </w:rPr>
              <w:t xml:space="preserve">PRINTEMPS / ETE </w:t>
            </w:r>
          </w:p>
          <w:p w14:paraId="1DBC9877" w14:textId="5530ED29" w:rsidR="00033D8D" w:rsidRPr="00FC1419" w:rsidRDefault="00033D8D" w:rsidP="00350587">
            <w:pPr>
              <w:adjustRightInd w:val="0"/>
              <w:spacing w:line="276" w:lineRule="auto"/>
              <w:rPr>
                <w:sz w:val="20"/>
              </w:rPr>
            </w:pPr>
            <w:r w:rsidRPr="00FC1419">
              <w:rPr>
                <w:sz w:val="20"/>
              </w:rPr>
              <w:t>Entre le 1</w:t>
            </w:r>
            <w:r w:rsidRPr="00FC1419">
              <w:rPr>
                <w:sz w:val="20"/>
                <w:vertAlign w:val="superscript"/>
              </w:rPr>
              <w:t>er</w:t>
            </w:r>
            <w:r w:rsidRPr="00FC1419">
              <w:rPr>
                <w:sz w:val="20"/>
              </w:rPr>
              <w:t xml:space="preserve"> avril 202</w:t>
            </w:r>
            <w:r w:rsidR="005A13C0">
              <w:rPr>
                <w:sz w:val="20"/>
              </w:rPr>
              <w:t>4</w:t>
            </w:r>
            <w:r w:rsidRPr="00FC1419">
              <w:rPr>
                <w:sz w:val="20"/>
              </w:rPr>
              <w:t xml:space="preserve"> et le 1</w:t>
            </w:r>
            <w:r w:rsidRPr="00FC1419">
              <w:rPr>
                <w:sz w:val="20"/>
                <w:vertAlign w:val="superscript"/>
              </w:rPr>
              <w:t>er</w:t>
            </w:r>
            <w:r w:rsidRPr="00FC1419">
              <w:rPr>
                <w:sz w:val="20"/>
              </w:rPr>
              <w:t xml:space="preserve"> novembre 202</w:t>
            </w:r>
            <w:r w:rsidR="005A13C0">
              <w:rPr>
                <w:sz w:val="20"/>
              </w:rPr>
              <w:t>4</w:t>
            </w:r>
          </w:p>
        </w:tc>
        <w:tc>
          <w:tcPr>
            <w:tcW w:w="5103" w:type="dxa"/>
            <w:vAlign w:val="center"/>
          </w:tcPr>
          <w:p w14:paraId="6731E019" w14:textId="76DBD703" w:rsidR="00FC1419" w:rsidRPr="00FC1419" w:rsidRDefault="0025456F" w:rsidP="000171EB">
            <w:pPr>
              <w:adjustRightInd w:val="0"/>
              <w:jc w:val="center"/>
              <w:rPr>
                <w:b/>
                <w:color w:val="002A7E"/>
                <w:sz w:val="20"/>
              </w:rPr>
            </w:pPr>
            <w:r>
              <w:rPr>
                <w:b/>
                <w:color w:val="002A7E"/>
                <w:sz w:val="20"/>
              </w:rPr>
              <w:t>M</w:t>
            </w:r>
            <w:r w:rsidR="005A13C0">
              <w:rPr>
                <w:b/>
                <w:color w:val="002A7E"/>
                <w:sz w:val="20"/>
              </w:rPr>
              <w:t>ercredi</w:t>
            </w:r>
            <w:r w:rsidR="007453DF" w:rsidRPr="00FC1419">
              <w:rPr>
                <w:b/>
                <w:color w:val="002A7E"/>
                <w:sz w:val="20"/>
              </w:rPr>
              <w:t xml:space="preserve"> </w:t>
            </w:r>
            <w:r w:rsidR="000171EB">
              <w:rPr>
                <w:b/>
                <w:color w:val="002A7E"/>
                <w:sz w:val="20"/>
              </w:rPr>
              <w:t xml:space="preserve">10 janvier </w:t>
            </w:r>
            <w:r w:rsidR="00033D8D" w:rsidRPr="00FC1419">
              <w:rPr>
                <w:b/>
                <w:color w:val="002A7E"/>
                <w:sz w:val="20"/>
              </w:rPr>
              <w:t>20</w:t>
            </w:r>
            <w:r w:rsidR="00BE6B01" w:rsidRPr="00FC1419">
              <w:rPr>
                <w:b/>
                <w:color w:val="002A7E"/>
                <w:sz w:val="20"/>
              </w:rPr>
              <w:t>2</w:t>
            </w:r>
            <w:r w:rsidR="005A13C0">
              <w:rPr>
                <w:b/>
                <w:color w:val="002A7E"/>
                <w:sz w:val="20"/>
              </w:rPr>
              <w:t>4</w:t>
            </w:r>
          </w:p>
          <w:p w14:paraId="7F6F1B3C" w14:textId="77777777" w:rsidR="00033D8D" w:rsidRPr="00FC1419" w:rsidRDefault="00FC1419" w:rsidP="00FC1419">
            <w:pPr>
              <w:adjustRightInd w:val="0"/>
              <w:jc w:val="center"/>
              <w:rPr>
                <w:b/>
                <w:color w:val="002A7E"/>
                <w:sz w:val="20"/>
              </w:rPr>
            </w:pPr>
            <w:r w:rsidRPr="00FC1419">
              <w:rPr>
                <w:b/>
                <w:color w:val="002A7E"/>
                <w:sz w:val="20"/>
              </w:rPr>
              <w:t>délai de rigueur</w:t>
            </w:r>
          </w:p>
        </w:tc>
      </w:tr>
      <w:tr w:rsidR="00033D8D" w:rsidRPr="00F7464F" w14:paraId="3A31B1D1" w14:textId="77777777" w:rsidTr="00760D6F">
        <w:trPr>
          <w:trHeight w:val="683"/>
          <w:jc w:val="center"/>
        </w:trPr>
        <w:tc>
          <w:tcPr>
            <w:tcW w:w="4820" w:type="dxa"/>
            <w:vAlign w:val="center"/>
          </w:tcPr>
          <w:p w14:paraId="6FC9AC18" w14:textId="77777777" w:rsidR="00033D8D" w:rsidRPr="00FC1419" w:rsidRDefault="00033D8D" w:rsidP="009678D7">
            <w:pPr>
              <w:adjustRightInd w:val="0"/>
              <w:spacing w:line="276" w:lineRule="auto"/>
              <w:jc w:val="center"/>
              <w:rPr>
                <w:sz w:val="20"/>
                <w:u w:val="single"/>
              </w:rPr>
            </w:pPr>
            <w:r w:rsidRPr="00FC1419">
              <w:rPr>
                <w:sz w:val="20"/>
                <w:u w:val="single"/>
              </w:rPr>
              <w:t xml:space="preserve">AUTOMNE / HIVER </w:t>
            </w:r>
          </w:p>
          <w:p w14:paraId="26DBF514" w14:textId="242BA692" w:rsidR="00033D8D" w:rsidRPr="00FC1419" w:rsidRDefault="00033D8D" w:rsidP="00FC1419">
            <w:pPr>
              <w:adjustRightInd w:val="0"/>
              <w:spacing w:line="276" w:lineRule="auto"/>
              <w:jc w:val="center"/>
              <w:rPr>
                <w:sz w:val="20"/>
              </w:rPr>
            </w:pPr>
            <w:r w:rsidRPr="00FC1419">
              <w:rPr>
                <w:sz w:val="20"/>
              </w:rPr>
              <w:t>Entre le 2</w:t>
            </w:r>
            <w:r w:rsidRPr="00FC1419">
              <w:rPr>
                <w:sz w:val="20"/>
                <w:vertAlign w:val="superscript"/>
              </w:rPr>
              <w:t xml:space="preserve"> </w:t>
            </w:r>
            <w:r w:rsidRPr="00FC1419">
              <w:rPr>
                <w:sz w:val="20"/>
              </w:rPr>
              <w:t>novembre 202</w:t>
            </w:r>
            <w:r w:rsidR="005A13C0">
              <w:rPr>
                <w:sz w:val="20"/>
              </w:rPr>
              <w:t>4</w:t>
            </w:r>
            <w:r w:rsidRPr="00FC1419">
              <w:rPr>
                <w:sz w:val="20"/>
              </w:rPr>
              <w:t xml:space="preserve"> au 31 Mars 202</w:t>
            </w:r>
            <w:r w:rsidR="005A13C0">
              <w:rPr>
                <w:sz w:val="20"/>
              </w:rPr>
              <w:t>5</w:t>
            </w:r>
          </w:p>
        </w:tc>
        <w:tc>
          <w:tcPr>
            <w:tcW w:w="5103" w:type="dxa"/>
            <w:vAlign w:val="center"/>
          </w:tcPr>
          <w:p w14:paraId="5F55CA85" w14:textId="1BBCBF3C" w:rsidR="00FC1419" w:rsidRPr="00FC1419" w:rsidRDefault="005A13C0" w:rsidP="00FC1419">
            <w:pPr>
              <w:adjustRightInd w:val="0"/>
              <w:jc w:val="center"/>
              <w:rPr>
                <w:b/>
                <w:color w:val="002A7E"/>
                <w:sz w:val="20"/>
              </w:rPr>
            </w:pPr>
            <w:r>
              <w:rPr>
                <w:b/>
                <w:color w:val="002A7E"/>
                <w:sz w:val="20"/>
              </w:rPr>
              <w:t>Jeudi</w:t>
            </w:r>
            <w:r w:rsidR="00033D8D" w:rsidRPr="00FC1419">
              <w:rPr>
                <w:b/>
                <w:color w:val="002A7E"/>
                <w:sz w:val="20"/>
              </w:rPr>
              <w:t xml:space="preserve"> </w:t>
            </w:r>
            <w:r w:rsidR="00FC1419" w:rsidRPr="00FC1419">
              <w:rPr>
                <w:b/>
                <w:color w:val="002A7E"/>
                <w:sz w:val="20"/>
              </w:rPr>
              <w:t>11 avril 20</w:t>
            </w:r>
            <w:r w:rsidR="0000613B">
              <w:rPr>
                <w:b/>
                <w:color w:val="002A7E"/>
                <w:sz w:val="20"/>
              </w:rPr>
              <w:t>2</w:t>
            </w:r>
            <w:r>
              <w:rPr>
                <w:b/>
                <w:color w:val="002A7E"/>
                <w:sz w:val="20"/>
              </w:rPr>
              <w:t>4</w:t>
            </w:r>
          </w:p>
          <w:p w14:paraId="79472A61" w14:textId="77777777" w:rsidR="00033D8D" w:rsidRPr="00FC1419" w:rsidRDefault="00FC1419" w:rsidP="00FC1419">
            <w:pPr>
              <w:adjustRightInd w:val="0"/>
              <w:jc w:val="center"/>
              <w:rPr>
                <w:b/>
                <w:sz w:val="20"/>
              </w:rPr>
            </w:pPr>
            <w:r w:rsidRPr="00FC1419">
              <w:rPr>
                <w:b/>
                <w:color w:val="002A7E"/>
                <w:sz w:val="20"/>
              </w:rPr>
              <w:t>délai de rigueur</w:t>
            </w:r>
          </w:p>
        </w:tc>
      </w:tr>
    </w:tbl>
    <w:p w14:paraId="1F7F6C08" w14:textId="77777777" w:rsidR="00033D8D" w:rsidRPr="00090110" w:rsidRDefault="00033D8D" w:rsidP="00033D8D">
      <w:pPr>
        <w:adjustRightInd w:val="0"/>
        <w:jc w:val="both"/>
        <w:rPr>
          <w:sz w:val="20"/>
        </w:rPr>
      </w:pPr>
    </w:p>
    <w:p w14:paraId="76601EDB" w14:textId="77777777" w:rsidR="00033D8D" w:rsidRPr="00033D8D" w:rsidRDefault="00033D8D" w:rsidP="00033D8D">
      <w:pPr>
        <w:adjustRightInd w:val="0"/>
        <w:jc w:val="both"/>
        <w:rPr>
          <w:sz w:val="20"/>
          <w:szCs w:val="20"/>
        </w:rPr>
      </w:pPr>
      <w:r w:rsidRPr="00033D8D">
        <w:rPr>
          <w:sz w:val="20"/>
          <w:szCs w:val="20"/>
        </w:rPr>
        <w:t>Le non-respect des dates limites de retour des dossiers implique le report du congé l’année suivante.</w:t>
      </w:r>
    </w:p>
    <w:p w14:paraId="608CC15A" w14:textId="77777777" w:rsidR="009F01A6" w:rsidRDefault="009F01A6" w:rsidP="009F01A6">
      <w:pPr>
        <w:pStyle w:val="SIGN"/>
        <w:ind w:left="0"/>
        <w:jc w:val="both"/>
      </w:pPr>
      <w:r>
        <w:t>L’administration détermine la date de départ et de retour du congé bonifié en fonction des vœux exprimés et dans la limite du nombre de places offertes par la compagnie de transport.</w:t>
      </w:r>
    </w:p>
    <w:p w14:paraId="397E6674" w14:textId="77777777" w:rsidR="00517D05" w:rsidRDefault="00517D05" w:rsidP="009F01A6">
      <w:pPr>
        <w:pStyle w:val="SIGN"/>
        <w:ind w:left="0"/>
        <w:rPr>
          <w:bCs/>
        </w:rPr>
      </w:pPr>
    </w:p>
    <w:p w14:paraId="12E27509" w14:textId="5508D90A" w:rsidR="00C004A8" w:rsidRPr="00517D05" w:rsidRDefault="00517D05" w:rsidP="00517D05">
      <w:pPr>
        <w:pStyle w:val="SIGN"/>
        <w:pBdr>
          <w:bottom w:val="single" w:sz="4" w:space="1" w:color="0325B5"/>
        </w:pBdr>
        <w:ind w:left="284" w:hanging="284"/>
        <w:jc w:val="both"/>
        <w:rPr>
          <w:b/>
          <w:smallCaps/>
          <w:sz w:val="22"/>
        </w:rPr>
      </w:pPr>
      <w:r w:rsidRPr="00517D05">
        <w:rPr>
          <w:b/>
          <w:smallCaps/>
          <w:sz w:val="22"/>
        </w:rPr>
        <w:t>INFORMATIONS DIVERSES</w:t>
      </w:r>
    </w:p>
    <w:p w14:paraId="14B09DDC" w14:textId="77777777" w:rsidR="00090110" w:rsidRPr="00375922" w:rsidRDefault="00090110" w:rsidP="009F01A6">
      <w:pPr>
        <w:pStyle w:val="SIGN"/>
        <w:ind w:left="0"/>
        <w:rPr>
          <w:bCs/>
        </w:rPr>
      </w:pPr>
      <w:bookmarkStart w:id="0" w:name="_Hlk152234316"/>
    </w:p>
    <w:bookmarkEnd w:id="0"/>
    <w:p w14:paraId="4A22FE59" w14:textId="77777777" w:rsidR="00033D8D" w:rsidRPr="00972A1C" w:rsidRDefault="00033D8D" w:rsidP="00972A1C">
      <w:pPr>
        <w:widowControl/>
        <w:numPr>
          <w:ilvl w:val="1"/>
          <w:numId w:val="7"/>
        </w:numPr>
        <w:tabs>
          <w:tab w:val="clear" w:pos="396"/>
        </w:tabs>
        <w:adjustRightInd w:val="0"/>
        <w:ind w:left="356"/>
        <w:jc w:val="both"/>
        <w:rPr>
          <w:b/>
          <w:smallCaps/>
          <w:color w:val="002E8A"/>
          <w:szCs w:val="20"/>
          <w:u w:val="single"/>
        </w:rPr>
      </w:pPr>
      <w:r w:rsidRPr="00972A1C">
        <w:rPr>
          <w:b/>
          <w:smallCaps/>
          <w:color w:val="002E8A"/>
          <w:szCs w:val="20"/>
          <w:u w:val="single"/>
        </w:rPr>
        <w:t>Prise en compte des ayants droits :</w:t>
      </w:r>
    </w:p>
    <w:p w14:paraId="3B848263" w14:textId="77777777" w:rsidR="00972A1C" w:rsidRPr="0009713D" w:rsidRDefault="00972A1C" w:rsidP="00972A1C">
      <w:pPr>
        <w:widowControl/>
        <w:adjustRightInd w:val="0"/>
        <w:ind w:left="356"/>
        <w:jc w:val="both"/>
        <w:rPr>
          <w:sz w:val="16"/>
          <w:szCs w:val="20"/>
        </w:rPr>
      </w:pPr>
    </w:p>
    <w:p w14:paraId="658AD293" w14:textId="77777777" w:rsidR="00033D8D" w:rsidRPr="008B2F3E" w:rsidRDefault="00033D8D" w:rsidP="009678D7">
      <w:pPr>
        <w:widowControl/>
        <w:numPr>
          <w:ilvl w:val="0"/>
          <w:numId w:val="8"/>
        </w:numPr>
        <w:adjustRightInd w:val="0"/>
        <w:spacing w:after="120"/>
        <w:ind w:left="709" w:hanging="284"/>
        <w:jc w:val="both"/>
        <w:rPr>
          <w:sz w:val="20"/>
          <w:szCs w:val="20"/>
        </w:rPr>
      </w:pPr>
      <w:r w:rsidRPr="008B2F3E">
        <w:rPr>
          <w:b/>
          <w:sz w:val="20"/>
          <w:szCs w:val="20"/>
        </w:rPr>
        <w:t>Conjoint</w:t>
      </w:r>
      <w:r w:rsidR="00345773" w:rsidRPr="008B2F3E">
        <w:rPr>
          <w:b/>
          <w:sz w:val="20"/>
          <w:szCs w:val="20"/>
        </w:rPr>
        <w:t xml:space="preserve">, </w:t>
      </w:r>
      <w:r w:rsidRPr="008B2F3E">
        <w:rPr>
          <w:b/>
          <w:sz w:val="20"/>
          <w:szCs w:val="20"/>
        </w:rPr>
        <w:t xml:space="preserve">concubin ou partenaire </w:t>
      </w:r>
      <w:r w:rsidR="00345773" w:rsidRPr="008B2F3E">
        <w:rPr>
          <w:b/>
          <w:sz w:val="20"/>
          <w:szCs w:val="20"/>
        </w:rPr>
        <w:t>de</w:t>
      </w:r>
      <w:r w:rsidRPr="008B2F3E">
        <w:rPr>
          <w:b/>
          <w:sz w:val="20"/>
          <w:szCs w:val="20"/>
        </w:rPr>
        <w:t xml:space="preserve"> </w:t>
      </w:r>
      <w:r w:rsidR="00345773" w:rsidRPr="008B2F3E">
        <w:rPr>
          <w:b/>
          <w:sz w:val="20"/>
          <w:szCs w:val="20"/>
        </w:rPr>
        <w:t>PACS</w:t>
      </w:r>
      <w:r w:rsidR="008B2F3E">
        <w:rPr>
          <w:b/>
          <w:sz w:val="20"/>
          <w:szCs w:val="20"/>
        </w:rPr>
        <w:t> :</w:t>
      </w:r>
    </w:p>
    <w:p w14:paraId="19BD3D9A" w14:textId="77777777" w:rsidR="00033D8D" w:rsidRPr="00033D8D" w:rsidRDefault="00033D8D" w:rsidP="009678D7">
      <w:pPr>
        <w:adjustRightInd w:val="0"/>
        <w:spacing w:after="80"/>
        <w:ind w:left="709"/>
        <w:jc w:val="both"/>
        <w:rPr>
          <w:sz w:val="20"/>
          <w:szCs w:val="20"/>
        </w:rPr>
      </w:pPr>
      <w:r w:rsidRPr="00033D8D">
        <w:rPr>
          <w:sz w:val="20"/>
          <w:szCs w:val="20"/>
        </w:rPr>
        <w:t>L’agent peut demander la prise en charge par l’Etat des frais de transport de son conjoint, concubin ou de son partenaire</w:t>
      </w:r>
      <w:r w:rsidR="00345773">
        <w:rPr>
          <w:sz w:val="20"/>
          <w:szCs w:val="20"/>
        </w:rPr>
        <w:t xml:space="preserve"> de PACS</w:t>
      </w:r>
      <w:r w:rsidRPr="00033D8D">
        <w:rPr>
          <w:sz w:val="20"/>
          <w:szCs w:val="20"/>
        </w:rPr>
        <w:t xml:space="preserve">, à condition que celui-ci ne bénéficie pas d’un régime de congé bonifié propre à son administration ou à son entreprise. </w:t>
      </w:r>
    </w:p>
    <w:p w14:paraId="0BF0FB84" w14:textId="77777777" w:rsidR="00033D8D" w:rsidRDefault="00033D8D" w:rsidP="009678D7">
      <w:pPr>
        <w:adjustRightInd w:val="0"/>
        <w:spacing w:after="80"/>
        <w:ind w:left="709"/>
        <w:jc w:val="both"/>
        <w:rPr>
          <w:sz w:val="20"/>
          <w:szCs w:val="20"/>
        </w:rPr>
      </w:pPr>
      <w:r w:rsidRPr="00033D8D">
        <w:rPr>
          <w:sz w:val="20"/>
          <w:szCs w:val="20"/>
        </w:rPr>
        <w:t xml:space="preserve">Ses ressources annuelles doivent être inférieures </w:t>
      </w:r>
      <w:r w:rsidR="006F765C" w:rsidRPr="006F765C">
        <w:rPr>
          <w:sz w:val="20"/>
          <w:szCs w:val="20"/>
        </w:rPr>
        <w:t>à</w:t>
      </w:r>
      <w:r w:rsidRPr="00033D8D">
        <w:rPr>
          <w:b/>
          <w:sz w:val="20"/>
          <w:szCs w:val="20"/>
        </w:rPr>
        <w:t xml:space="preserve"> 18 </w:t>
      </w:r>
      <w:r w:rsidR="00E92E93">
        <w:rPr>
          <w:b/>
          <w:sz w:val="20"/>
          <w:szCs w:val="20"/>
        </w:rPr>
        <w:t>552</w:t>
      </w:r>
      <w:r w:rsidRPr="00033D8D">
        <w:rPr>
          <w:b/>
          <w:sz w:val="20"/>
          <w:szCs w:val="20"/>
        </w:rPr>
        <w:t xml:space="preserve"> €</w:t>
      </w:r>
      <w:r w:rsidRPr="00033D8D">
        <w:rPr>
          <w:sz w:val="20"/>
          <w:szCs w:val="20"/>
        </w:rPr>
        <w:t xml:space="preserve"> </w:t>
      </w:r>
      <w:r w:rsidR="00E92E93" w:rsidRPr="00E92E93">
        <w:rPr>
          <w:b/>
          <w:sz w:val="20"/>
          <w:szCs w:val="20"/>
        </w:rPr>
        <w:t xml:space="preserve">bruts </w:t>
      </w:r>
      <w:r w:rsidR="006F765C" w:rsidRPr="00E92E93">
        <w:rPr>
          <w:b/>
          <w:sz w:val="20"/>
          <w:szCs w:val="20"/>
        </w:rPr>
        <w:t>a</w:t>
      </w:r>
      <w:r w:rsidR="006F765C" w:rsidRPr="006F765C">
        <w:rPr>
          <w:b/>
          <w:sz w:val="20"/>
          <w:szCs w:val="20"/>
        </w:rPr>
        <w:t>nnuels</w:t>
      </w:r>
      <w:r w:rsidR="006F765C">
        <w:rPr>
          <w:sz w:val="20"/>
          <w:szCs w:val="20"/>
        </w:rPr>
        <w:t xml:space="preserve"> </w:t>
      </w:r>
      <w:r w:rsidRPr="00033D8D">
        <w:rPr>
          <w:sz w:val="20"/>
          <w:szCs w:val="20"/>
        </w:rPr>
        <w:t>(</w:t>
      </w:r>
      <w:r w:rsidR="00E92E93" w:rsidRPr="00E92E93">
        <w:rPr>
          <w:bCs/>
          <w:sz w:val="20"/>
          <w:szCs w:val="20"/>
        </w:rPr>
        <w:t xml:space="preserve">Arrêté du 2 juillet 2020 fixant </w:t>
      </w:r>
      <w:r w:rsidR="00E92E93" w:rsidRPr="008B2F3E">
        <w:rPr>
          <w:sz w:val="20"/>
          <w:szCs w:val="20"/>
        </w:rPr>
        <w:t>le plafond prévu par l'article 5 du décret n° 78-399 du 20 mars 1978</w:t>
      </w:r>
      <w:r w:rsidRPr="00033D8D">
        <w:rPr>
          <w:sz w:val="20"/>
          <w:szCs w:val="20"/>
        </w:rPr>
        <w:t xml:space="preserve">). </w:t>
      </w:r>
    </w:p>
    <w:p w14:paraId="36ED9DC4" w14:textId="3E121579" w:rsidR="00345773" w:rsidRPr="00033D8D" w:rsidRDefault="00345773" w:rsidP="009678D7">
      <w:pPr>
        <w:adjustRightInd w:val="0"/>
        <w:ind w:left="709"/>
        <w:jc w:val="both"/>
        <w:rPr>
          <w:sz w:val="20"/>
          <w:szCs w:val="20"/>
        </w:rPr>
      </w:pPr>
      <w:r>
        <w:rPr>
          <w:sz w:val="20"/>
          <w:szCs w:val="20"/>
        </w:rPr>
        <w:t xml:space="preserve">Le montant annuel des revenus pris en compte correspond au revenu fiscal de référence de l’année civile précédent </w:t>
      </w:r>
      <w:r w:rsidR="008B2F3E">
        <w:rPr>
          <w:sz w:val="20"/>
          <w:szCs w:val="20"/>
        </w:rPr>
        <w:t xml:space="preserve">l’ouverture de droit à congé bonifié (revenu fiscal de référence de l’année </w:t>
      </w:r>
      <w:r w:rsidR="00805F48">
        <w:rPr>
          <w:sz w:val="20"/>
          <w:szCs w:val="20"/>
        </w:rPr>
        <w:t>202</w:t>
      </w:r>
      <w:r w:rsidR="000F5476">
        <w:rPr>
          <w:sz w:val="20"/>
          <w:szCs w:val="20"/>
        </w:rPr>
        <w:t>2</w:t>
      </w:r>
      <w:r w:rsidR="008B2F3E">
        <w:rPr>
          <w:sz w:val="20"/>
          <w:szCs w:val="20"/>
        </w:rPr>
        <w:t xml:space="preserve"> </w:t>
      </w:r>
      <w:r w:rsidR="00805F48">
        <w:rPr>
          <w:sz w:val="20"/>
          <w:szCs w:val="20"/>
        </w:rPr>
        <w:t>indiqué sur l’avis d’imposition 202</w:t>
      </w:r>
      <w:r w:rsidR="000F5476">
        <w:rPr>
          <w:sz w:val="20"/>
          <w:szCs w:val="20"/>
        </w:rPr>
        <w:t>3</w:t>
      </w:r>
      <w:r w:rsidR="00805F48">
        <w:rPr>
          <w:sz w:val="20"/>
          <w:szCs w:val="20"/>
        </w:rPr>
        <w:t>)</w:t>
      </w:r>
    </w:p>
    <w:p w14:paraId="54CA457D" w14:textId="77777777" w:rsidR="00033D8D" w:rsidRPr="0009713D" w:rsidRDefault="00033D8D" w:rsidP="009678D7">
      <w:pPr>
        <w:adjustRightInd w:val="0"/>
        <w:ind w:left="709"/>
        <w:jc w:val="both"/>
        <w:rPr>
          <w:sz w:val="16"/>
          <w:szCs w:val="20"/>
        </w:rPr>
      </w:pPr>
    </w:p>
    <w:p w14:paraId="6ED8ABB7" w14:textId="77777777" w:rsidR="00033D8D" w:rsidRPr="008B2F3E" w:rsidRDefault="00033D8D" w:rsidP="009678D7">
      <w:pPr>
        <w:widowControl/>
        <w:numPr>
          <w:ilvl w:val="0"/>
          <w:numId w:val="8"/>
        </w:numPr>
        <w:adjustRightInd w:val="0"/>
        <w:ind w:left="709" w:hanging="284"/>
        <w:jc w:val="both"/>
        <w:rPr>
          <w:b/>
          <w:sz w:val="20"/>
          <w:szCs w:val="20"/>
        </w:rPr>
      </w:pPr>
      <w:r w:rsidRPr="008B2F3E">
        <w:rPr>
          <w:b/>
          <w:sz w:val="20"/>
          <w:szCs w:val="20"/>
        </w:rPr>
        <w:t>Enfants :</w:t>
      </w:r>
    </w:p>
    <w:p w14:paraId="09408D7C" w14:textId="77777777" w:rsidR="008B2F3E" w:rsidRDefault="008B2F3E" w:rsidP="009678D7">
      <w:pPr>
        <w:adjustRightInd w:val="0"/>
        <w:ind w:left="709"/>
        <w:jc w:val="both"/>
        <w:rPr>
          <w:sz w:val="20"/>
          <w:szCs w:val="20"/>
        </w:rPr>
      </w:pPr>
      <w:r>
        <w:rPr>
          <w:sz w:val="20"/>
          <w:szCs w:val="20"/>
        </w:rPr>
        <w:t xml:space="preserve">Les enfants à charge de l’agent, au sens de la législation sur les prestations familiales, bénéficient d’une prise en charge intégrale de leurs frais de transport. </w:t>
      </w:r>
    </w:p>
    <w:p w14:paraId="0C808738" w14:textId="77777777" w:rsidR="00033D8D" w:rsidRDefault="008B2F3E" w:rsidP="009678D7">
      <w:pPr>
        <w:adjustRightInd w:val="0"/>
        <w:ind w:left="709"/>
        <w:jc w:val="both"/>
        <w:rPr>
          <w:sz w:val="20"/>
          <w:szCs w:val="20"/>
        </w:rPr>
      </w:pPr>
      <w:r>
        <w:rPr>
          <w:sz w:val="20"/>
          <w:szCs w:val="20"/>
        </w:rPr>
        <w:t>I</w:t>
      </w:r>
      <w:r w:rsidR="00033D8D" w:rsidRPr="00033D8D">
        <w:rPr>
          <w:sz w:val="20"/>
          <w:szCs w:val="20"/>
        </w:rPr>
        <w:t xml:space="preserve">ls </w:t>
      </w:r>
      <w:r>
        <w:rPr>
          <w:sz w:val="20"/>
          <w:szCs w:val="20"/>
        </w:rPr>
        <w:t xml:space="preserve">doivent être scolarisés et </w:t>
      </w:r>
      <w:r w:rsidR="00033D8D" w:rsidRPr="00033D8D">
        <w:rPr>
          <w:sz w:val="20"/>
          <w:szCs w:val="20"/>
        </w:rPr>
        <w:t>ne pas dépass</w:t>
      </w:r>
      <w:r>
        <w:rPr>
          <w:sz w:val="20"/>
          <w:szCs w:val="20"/>
        </w:rPr>
        <w:t>er l’âge de 20 ans à la date du départ.</w:t>
      </w:r>
    </w:p>
    <w:p w14:paraId="39D03986" w14:textId="77777777" w:rsidR="008B2F3E" w:rsidRDefault="008B2F3E" w:rsidP="009678D7">
      <w:pPr>
        <w:adjustRightInd w:val="0"/>
        <w:ind w:left="709"/>
        <w:jc w:val="both"/>
        <w:rPr>
          <w:sz w:val="20"/>
          <w:szCs w:val="20"/>
        </w:rPr>
      </w:pPr>
      <w:r w:rsidRPr="00033D8D">
        <w:rPr>
          <w:sz w:val="20"/>
          <w:szCs w:val="20"/>
        </w:rPr>
        <w:t xml:space="preserve">Aucune limite d’âge n’est appliquée pour les enfants atteints d’un handicap </w:t>
      </w:r>
      <w:r w:rsidR="007B0D9A">
        <w:rPr>
          <w:sz w:val="20"/>
          <w:szCs w:val="20"/>
        </w:rPr>
        <w:t>d’au moins</w:t>
      </w:r>
      <w:r w:rsidRPr="00033D8D">
        <w:rPr>
          <w:sz w:val="20"/>
          <w:szCs w:val="20"/>
        </w:rPr>
        <w:t xml:space="preserve"> 80%.</w:t>
      </w:r>
    </w:p>
    <w:p w14:paraId="043B9CC7" w14:textId="77777777" w:rsidR="00033D8D" w:rsidRPr="00376F4D" w:rsidRDefault="00033D8D" w:rsidP="00033D8D">
      <w:pPr>
        <w:adjustRightInd w:val="0"/>
        <w:rPr>
          <w:sz w:val="16"/>
          <w:szCs w:val="20"/>
        </w:rPr>
      </w:pPr>
    </w:p>
    <w:p w14:paraId="7DFA42A0" w14:textId="77777777" w:rsidR="00033D8D" w:rsidRPr="00376F4D" w:rsidRDefault="00033D8D" w:rsidP="00033D8D">
      <w:pPr>
        <w:adjustRightInd w:val="0"/>
        <w:rPr>
          <w:sz w:val="16"/>
          <w:szCs w:val="20"/>
        </w:rPr>
      </w:pPr>
    </w:p>
    <w:p w14:paraId="04DAE725" w14:textId="77777777" w:rsidR="00033D8D" w:rsidRPr="007B0D9A" w:rsidRDefault="00033D8D" w:rsidP="007B0D9A">
      <w:pPr>
        <w:widowControl/>
        <w:numPr>
          <w:ilvl w:val="1"/>
          <w:numId w:val="7"/>
        </w:numPr>
        <w:tabs>
          <w:tab w:val="clear" w:pos="396"/>
        </w:tabs>
        <w:adjustRightInd w:val="0"/>
        <w:ind w:left="356"/>
        <w:jc w:val="both"/>
        <w:rPr>
          <w:b/>
          <w:smallCaps/>
          <w:color w:val="002E8A"/>
          <w:szCs w:val="20"/>
          <w:u w:val="single"/>
        </w:rPr>
      </w:pPr>
      <w:r w:rsidRPr="007B0D9A">
        <w:rPr>
          <w:b/>
          <w:smallCaps/>
          <w:color w:val="002E8A"/>
          <w:szCs w:val="20"/>
          <w:u w:val="single"/>
        </w:rPr>
        <w:t>Prise en charge des frais de voyage :</w:t>
      </w:r>
    </w:p>
    <w:p w14:paraId="5CE22306" w14:textId="77777777" w:rsidR="00033D8D" w:rsidRPr="0009713D" w:rsidRDefault="00033D8D" w:rsidP="0009713D">
      <w:pPr>
        <w:widowControl/>
        <w:adjustRightInd w:val="0"/>
        <w:ind w:left="356"/>
        <w:jc w:val="both"/>
        <w:rPr>
          <w:sz w:val="16"/>
          <w:szCs w:val="20"/>
        </w:rPr>
      </w:pPr>
    </w:p>
    <w:p w14:paraId="6A6679F0" w14:textId="77777777" w:rsidR="007B0D9A" w:rsidRDefault="007B0D9A" w:rsidP="005E640E">
      <w:pPr>
        <w:adjustRightInd w:val="0"/>
        <w:ind w:left="356"/>
        <w:jc w:val="both"/>
        <w:rPr>
          <w:sz w:val="20"/>
          <w:szCs w:val="20"/>
        </w:rPr>
      </w:pPr>
      <w:r>
        <w:rPr>
          <w:sz w:val="20"/>
          <w:szCs w:val="20"/>
        </w:rPr>
        <w:t xml:space="preserve">Les frais de transports pris en charge par l’administration ne comprennent pas les déplacements effectués par l’agent à l’intérieur des territoires de départ et de destination. </w:t>
      </w:r>
    </w:p>
    <w:p w14:paraId="7860E771" w14:textId="77777777" w:rsidR="00033D8D" w:rsidRPr="00033D8D" w:rsidRDefault="007B0D9A" w:rsidP="005E640E">
      <w:pPr>
        <w:adjustRightInd w:val="0"/>
        <w:ind w:left="356"/>
        <w:jc w:val="both"/>
        <w:rPr>
          <w:sz w:val="20"/>
          <w:szCs w:val="20"/>
        </w:rPr>
      </w:pPr>
      <w:r>
        <w:rPr>
          <w:sz w:val="20"/>
          <w:szCs w:val="20"/>
        </w:rPr>
        <w:t>Ils</w:t>
      </w:r>
      <w:r w:rsidR="00033D8D" w:rsidRPr="00033D8D">
        <w:rPr>
          <w:sz w:val="20"/>
          <w:szCs w:val="20"/>
        </w:rPr>
        <w:t xml:space="preserve"> sont</w:t>
      </w:r>
      <w:r>
        <w:rPr>
          <w:sz w:val="20"/>
          <w:szCs w:val="20"/>
        </w:rPr>
        <w:t xml:space="preserve"> en effet</w:t>
      </w:r>
      <w:r w:rsidR="00033D8D" w:rsidRPr="00033D8D">
        <w:rPr>
          <w:sz w:val="20"/>
          <w:szCs w:val="20"/>
        </w:rPr>
        <w:t xml:space="preserve"> limités aux frais de transport aérien entre la métropole (aéroport de Paris Orly ou de B</w:t>
      </w:r>
      <w:r w:rsidR="006F765C">
        <w:rPr>
          <w:sz w:val="20"/>
          <w:szCs w:val="20"/>
        </w:rPr>
        <w:t>â</w:t>
      </w:r>
      <w:r w:rsidR="00033D8D" w:rsidRPr="00033D8D">
        <w:rPr>
          <w:sz w:val="20"/>
          <w:szCs w:val="20"/>
        </w:rPr>
        <w:t xml:space="preserve">le Mulhouse) et le </w:t>
      </w:r>
      <w:r>
        <w:rPr>
          <w:sz w:val="20"/>
          <w:szCs w:val="20"/>
        </w:rPr>
        <w:t>lieu de destination.</w:t>
      </w:r>
    </w:p>
    <w:p w14:paraId="389BD289" w14:textId="77777777" w:rsidR="00033D8D" w:rsidRPr="005E640E" w:rsidRDefault="00033D8D" w:rsidP="005E640E">
      <w:pPr>
        <w:adjustRightInd w:val="0"/>
        <w:jc w:val="both"/>
        <w:rPr>
          <w:sz w:val="12"/>
          <w:szCs w:val="20"/>
        </w:rPr>
      </w:pPr>
    </w:p>
    <w:p w14:paraId="4CE8AE9B" w14:textId="77777777" w:rsidR="00033D8D" w:rsidRPr="00033D8D" w:rsidRDefault="00033D8D" w:rsidP="005E640E">
      <w:pPr>
        <w:adjustRightInd w:val="0"/>
        <w:ind w:left="356"/>
        <w:jc w:val="both"/>
        <w:rPr>
          <w:sz w:val="20"/>
          <w:szCs w:val="20"/>
        </w:rPr>
      </w:pPr>
      <w:r w:rsidRPr="00033D8D">
        <w:rPr>
          <w:sz w:val="20"/>
          <w:szCs w:val="20"/>
        </w:rPr>
        <w:t>Les excédents de bagages au-delà de la franchise accordée par les compagnies aériennes sont pris en charge dans la limite maximale de 40 k</w:t>
      </w:r>
      <w:r w:rsidR="007B0D9A">
        <w:rPr>
          <w:sz w:val="20"/>
          <w:szCs w:val="20"/>
        </w:rPr>
        <w:t>g</w:t>
      </w:r>
      <w:r w:rsidRPr="00033D8D">
        <w:rPr>
          <w:sz w:val="20"/>
          <w:szCs w:val="20"/>
        </w:rPr>
        <w:t xml:space="preserve"> par personne. </w:t>
      </w:r>
    </w:p>
    <w:p w14:paraId="157F4C2C" w14:textId="77777777" w:rsidR="00033D8D" w:rsidRPr="00033D8D" w:rsidRDefault="00033D8D" w:rsidP="005E640E">
      <w:pPr>
        <w:adjustRightInd w:val="0"/>
        <w:ind w:left="356"/>
        <w:jc w:val="both"/>
        <w:rPr>
          <w:sz w:val="20"/>
          <w:szCs w:val="20"/>
        </w:rPr>
      </w:pPr>
      <w:r w:rsidRPr="00033D8D">
        <w:rPr>
          <w:sz w:val="20"/>
          <w:szCs w:val="20"/>
        </w:rPr>
        <w:t>L’indemnisation des excédents de bagages est soumise à la production de facture de la compagnie aérienne ou de la compagnie de fret.</w:t>
      </w:r>
    </w:p>
    <w:p w14:paraId="4F9A01FC" w14:textId="77777777" w:rsidR="00033D8D" w:rsidRPr="005E640E" w:rsidRDefault="00033D8D" w:rsidP="005E640E">
      <w:pPr>
        <w:adjustRightInd w:val="0"/>
        <w:jc w:val="both"/>
        <w:rPr>
          <w:sz w:val="12"/>
          <w:szCs w:val="20"/>
        </w:rPr>
      </w:pPr>
    </w:p>
    <w:p w14:paraId="624AFDC2" w14:textId="23F25A7B" w:rsidR="00033D8D" w:rsidRPr="005E640E" w:rsidRDefault="00033D8D" w:rsidP="005E640E">
      <w:pPr>
        <w:adjustRightInd w:val="0"/>
        <w:ind w:left="356"/>
        <w:jc w:val="both"/>
        <w:rPr>
          <w:color w:val="FF6600"/>
          <w:sz w:val="20"/>
          <w:szCs w:val="20"/>
        </w:rPr>
      </w:pPr>
      <w:r w:rsidRPr="00033D8D">
        <w:rPr>
          <w:sz w:val="20"/>
          <w:szCs w:val="20"/>
        </w:rPr>
        <w:t xml:space="preserve">Toute demande </w:t>
      </w:r>
      <w:r w:rsidR="005E640E">
        <w:rPr>
          <w:sz w:val="20"/>
          <w:szCs w:val="20"/>
        </w:rPr>
        <w:t>concernant les</w:t>
      </w:r>
      <w:r w:rsidRPr="00033D8D">
        <w:rPr>
          <w:sz w:val="20"/>
          <w:szCs w:val="20"/>
        </w:rPr>
        <w:t xml:space="preserve"> titres de transport </w:t>
      </w:r>
      <w:r w:rsidR="005E640E">
        <w:rPr>
          <w:sz w:val="20"/>
          <w:szCs w:val="20"/>
        </w:rPr>
        <w:t>doit</w:t>
      </w:r>
      <w:r w:rsidRPr="00033D8D">
        <w:rPr>
          <w:sz w:val="20"/>
          <w:szCs w:val="20"/>
        </w:rPr>
        <w:t xml:space="preserve"> être</w:t>
      </w:r>
      <w:r w:rsidR="00604392">
        <w:rPr>
          <w:sz w:val="20"/>
          <w:szCs w:val="20"/>
        </w:rPr>
        <w:t xml:space="preserve"> transmise</w:t>
      </w:r>
      <w:r w:rsidRPr="00033D8D">
        <w:rPr>
          <w:sz w:val="20"/>
          <w:szCs w:val="20"/>
        </w:rPr>
        <w:t xml:space="preserve"> au service</w:t>
      </w:r>
      <w:r>
        <w:rPr>
          <w:sz w:val="20"/>
          <w:szCs w:val="20"/>
        </w:rPr>
        <w:t xml:space="preserve"> </w:t>
      </w:r>
      <w:r w:rsidRPr="00033D8D">
        <w:rPr>
          <w:b/>
          <w:sz w:val="20"/>
          <w:szCs w:val="20"/>
        </w:rPr>
        <w:t>DAFIL 3</w:t>
      </w:r>
      <w:r w:rsidR="005E640E">
        <w:rPr>
          <w:b/>
          <w:sz w:val="20"/>
          <w:szCs w:val="20"/>
        </w:rPr>
        <w:t xml:space="preserve"> </w:t>
      </w:r>
      <w:r w:rsidR="005E640E" w:rsidRPr="005E640E">
        <w:rPr>
          <w:sz w:val="20"/>
          <w:szCs w:val="20"/>
        </w:rPr>
        <w:t>à l’adresse mail suivante :</w:t>
      </w:r>
      <w:r w:rsidR="005E640E">
        <w:rPr>
          <w:b/>
          <w:sz w:val="20"/>
          <w:szCs w:val="20"/>
        </w:rPr>
        <w:t xml:space="preserve"> </w:t>
      </w:r>
      <w:hyperlink r:id="rId11" w:history="1">
        <w:r w:rsidRPr="005E640E">
          <w:rPr>
            <w:rStyle w:val="Lienhypertexte"/>
            <w:b/>
            <w:color w:val="auto"/>
            <w:sz w:val="20"/>
            <w:szCs w:val="20"/>
            <w:u w:val="none"/>
          </w:rPr>
          <w:t>ce.dafil3@ac-besancon.fr</w:t>
        </w:r>
      </w:hyperlink>
      <w:r w:rsidRPr="005E640E">
        <w:rPr>
          <w:b/>
          <w:sz w:val="20"/>
          <w:szCs w:val="20"/>
        </w:rPr>
        <w:t>.</w:t>
      </w:r>
    </w:p>
    <w:p w14:paraId="71F5D3D0" w14:textId="77777777" w:rsidR="00033D8D" w:rsidRPr="005E640E" w:rsidRDefault="00033D8D" w:rsidP="005E640E">
      <w:pPr>
        <w:adjustRightInd w:val="0"/>
        <w:ind w:left="-284"/>
        <w:jc w:val="both"/>
        <w:rPr>
          <w:sz w:val="12"/>
          <w:szCs w:val="20"/>
        </w:rPr>
      </w:pPr>
    </w:p>
    <w:p w14:paraId="7ECBD8AE" w14:textId="77777777" w:rsidR="00033D8D" w:rsidRPr="00033D8D" w:rsidRDefault="005E640E" w:rsidP="005E640E">
      <w:pPr>
        <w:adjustRightInd w:val="0"/>
        <w:ind w:left="356"/>
        <w:jc w:val="both"/>
        <w:rPr>
          <w:sz w:val="20"/>
          <w:szCs w:val="20"/>
        </w:rPr>
      </w:pPr>
      <w:r>
        <w:rPr>
          <w:sz w:val="20"/>
          <w:szCs w:val="20"/>
        </w:rPr>
        <w:t>Il revient à l’agent de</w:t>
      </w:r>
      <w:r w:rsidR="00033D8D" w:rsidRPr="00033D8D">
        <w:rPr>
          <w:sz w:val="20"/>
          <w:szCs w:val="20"/>
        </w:rPr>
        <w:t xml:space="preserve"> prendre contact directement avec le voyagiste pour toute</w:t>
      </w:r>
      <w:r>
        <w:rPr>
          <w:sz w:val="20"/>
          <w:szCs w:val="20"/>
        </w:rPr>
        <w:t>s</w:t>
      </w:r>
      <w:r w:rsidR="00033D8D" w:rsidRPr="00033D8D">
        <w:rPr>
          <w:sz w:val="20"/>
          <w:szCs w:val="20"/>
        </w:rPr>
        <w:t xml:space="preserve"> </w:t>
      </w:r>
      <w:r>
        <w:rPr>
          <w:sz w:val="20"/>
          <w:szCs w:val="20"/>
        </w:rPr>
        <w:t>questions</w:t>
      </w:r>
      <w:r w:rsidR="00033D8D" w:rsidRPr="00033D8D">
        <w:rPr>
          <w:sz w:val="20"/>
          <w:szCs w:val="20"/>
        </w:rPr>
        <w:t xml:space="preserve"> </w:t>
      </w:r>
      <w:r>
        <w:rPr>
          <w:sz w:val="20"/>
          <w:szCs w:val="20"/>
        </w:rPr>
        <w:t>relatives aux</w:t>
      </w:r>
      <w:r w:rsidR="00033D8D" w:rsidRPr="00033D8D">
        <w:rPr>
          <w:sz w:val="20"/>
          <w:szCs w:val="20"/>
        </w:rPr>
        <w:t xml:space="preserve"> modalités du voyage.</w:t>
      </w:r>
    </w:p>
    <w:p w14:paraId="6D4490CE" w14:textId="77777777" w:rsidR="00033D8D" w:rsidRPr="00376F4D" w:rsidRDefault="00033D8D" w:rsidP="005E640E">
      <w:pPr>
        <w:adjustRightInd w:val="0"/>
        <w:jc w:val="both"/>
        <w:rPr>
          <w:sz w:val="16"/>
          <w:szCs w:val="20"/>
        </w:rPr>
      </w:pPr>
    </w:p>
    <w:p w14:paraId="7A7429F1" w14:textId="56CE87F7" w:rsidR="00033D8D" w:rsidRDefault="00033D8D" w:rsidP="00033D8D">
      <w:pPr>
        <w:adjustRightInd w:val="0"/>
        <w:jc w:val="both"/>
        <w:rPr>
          <w:sz w:val="16"/>
          <w:szCs w:val="20"/>
        </w:rPr>
      </w:pPr>
    </w:p>
    <w:p w14:paraId="4C42F3BC" w14:textId="3F8D4771" w:rsidR="000F5476" w:rsidRDefault="000F5476" w:rsidP="00033D8D">
      <w:pPr>
        <w:adjustRightInd w:val="0"/>
        <w:jc w:val="both"/>
        <w:rPr>
          <w:sz w:val="16"/>
          <w:szCs w:val="20"/>
        </w:rPr>
      </w:pPr>
    </w:p>
    <w:p w14:paraId="29FA9338" w14:textId="77777777" w:rsidR="000F5476" w:rsidRPr="00376F4D" w:rsidRDefault="000F5476" w:rsidP="00033D8D">
      <w:pPr>
        <w:adjustRightInd w:val="0"/>
        <w:jc w:val="both"/>
        <w:rPr>
          <w:sz w:val="16"/>
          <w:szCs w:val="20"/>
        </w:rPr>
      </w:pPr>
    </w:p>
    <w:p w14:paraId="5579ED2C" w14:textId="77777777" w:rsidR="00033D8D" w:rsidRPr="005E640E" w:rsidRDefault="00033D8D" w:rsidP="005E640E">
      <w:pPr>
        <w:widowControl/>
        <w:numPr>
          <w:ilvl w:val="1"/>
          <w:numId w:val="7"/>
        </w:numPr>
        <w:tabs>
          <w:tab w:val="clear" w:pos="396"/>
        </w:tabs>
        <w:adjustRightInd w:val="0"/>
        <w:ind w:left="356"/>
        <w:jc w:val="both"/>
        <w:rPr>
          <w:b/>
          <w:smallCaps/>
          <w:color w:val="002E8A"/>
          <w:szCs w:val="20"/>
          <w:u w:val="single"/>
        </w:rPr>
      </w:pPr>
      <w:r w:rsidRPr="005E640E">
        <w:rPr>
          <w:b/>
          <w:smallCaps/>
          <w:color w:val="002E8A"/>
          <w:szCs w:val="20"/>
          <w:u w:val="single"/>
        </w:rPr>
        <w:lastRenderedPageBreak/>
        <w:t>Majoration de traitement au titre de l’indemnité de vie chère :</w:t>
      </w:r>
    </w:p>
    <w:p w14:paraId="418C9D1B" w14:textId="77777777" w:rsidR="00033D8D" w:rsidRPr="0009713D" w:rsidRDefault="00033D8D" w:rsidP="0009713D">
      <w:pPr>
        <w:widowControl/>
        <w:adjustRightInd w:val="0"/>
        <w:ind w:left="356"/>
        <w:jc w:val="both"/>
        <w:rPr>
          <w:sz w:val="16"/>
          <w:szCs w:val="20"/>
        </w:rPr>
      </w:pPr>
    </w:p>
    <w:p w14:paraId="4A73F2C5" w14:textId="77777777" w:rsidR="00033D8D" w:rsidRPr="00033D8D" w:rsidRDefault="00033D8D" w:rsidP="00641E01">
      <w:pPr>
        <w:adjustRightInd w:val="0"/>
        <w:ind w:left="356"/>
        <w:jc w:val="both"/>
        <w:rPr>
          <w:sz w:val="20"/>
          <w:szCs w:val="20"/>
        </w:rPr>
      </w:pPr>
      <w:r w:rsidRPr="00033D8D">
        <w:rPr>
          <w:sz w:val="20"/>
          <w:szCs w:val="20"/>
        </w:rPr>
        <w:t xml:space="preserve">Afin que </w:t>
      </w:r>
      <w:r w:rsidR="0009713D">
        <w:rPr>
          <w:sz w:val="20"/>
          <w:szCs w:val="20"/>
        </w:rPr>
        <w:t>la majoration de traitement</w:t>
      </w:r>
      <w:r w:rsidRPr="00033D8D">
        <w:rPr>
          <w:sz w:val="20"/>
          <w:szCs w:val="20"/>
        </w:rPr>
        <w:t xml:space="preserve"> puisse être </w:t>
      </w:r>
      <w:r w:rsidR="0009713D">
        <w:rPr>
          <w:sz w:val="20"/>
          <w:szCs w:val="20"/>
        </w:rPr>
        <w:t>traitée</w:t>
      </w:r>
      <w:r w:rsidRPr="00033D8D">
        <w:rPr>
          <w:sz w:val="20"/>
          <w:szCs w:val="20"/>
        </w:rPr>
        <w:t xml:space="preserve">, les </w:t>
      </w:r>
      <w:r w:rsidR="0009713D">
        <w:rPr>
          <w:sz w:val="20"/>
          <w:szCs w:val="20"/>
        </w:rPr>
        <w:t>agents</w:t>
      </w:r>
      <w:r w:rsidRPr="00033D8D">
        <w:rPr>
          <w:sz w:val="20"/>
          <w:szCs w:val="20"/>
        </w:rPr>
        <w:t xml:space="preserve"> bénéficiaires d’un congé bonifié devront justifier de la durée de leur séjour en </w:t>
      </w:r>
      <w:r w:rsidR="0009713D">
        <w:rPr>
          <w:sz w:val="20"/>
          <w:szCs w:val="20"/>
        </w:rPr>
        <w:t>transmettant</w:t>
      </w:r>
      <w:r w:rsidRPr="00033D8D">
        <w:rPr>
          <w:sz w:val="20"/>
          <w:szCs w:val="20"/>
        </w:rPr>
        <w:t xml:space="preserve"> </w:t>
      </w:r>
      <w:r w:rsidR="00641E01">
        <w:rPr>
          <w:sz w:val="20"/>
          <w:szCs w:val="20"/>
        </w:rPr>
        <w:t xml:space="preserve">impérativement </w:t>
      </w:r>
      <w:r w:rsidRPr="00033D8D">
        <w:rPr>
          <w:sz w:val="20"/>
          <w:szCs w:val="20"/>
        </w:rPr>
        <w:t xml:space="preserve">les billets d’avion </w:t>
      </w:r>
      <w:r w:rsidR="00E3470F">
        <w:rPr>
          <w:sz w:val="20"/>
          <w:szCs w:val="20"/>
        </w:rPr>
        <w:t>(</w:t>
      </w:r>
      <w:r w:rsidRPr="00033D8D">
        <w:rPr>
          <w:sz w:val="20"/>
          <w:szCs w:val="20"/>
        </w:rPr>
        <w:t>originaux ou électroniques</w:t>
      </w:r>
      <w:r w:rsidR="00E3470F">
        <w:rPr>
          <w:sz w:val="20"/>
          <w:szCs w:val="20"/>
        </w:rPr>
        <w:t>)</w:t>
      </w:r>
      <w:r w:rsidRPr="00033D8D">
        <w:rPr>
          <w:sz w:val="20"/>
          <w:szCs w:val="20"/>
        </w:rPr>
        <w:t xml:space="preserve"> accompagnés des cartes d’embarquement, au </w:t>
      </w:r>
      <w:r w:rsidR="00E3470F">
        <w:rPr>
          <w:sz w:val="20"/>
          <w:szCs w:val="20"/>
        </w:rPr>
        <w:t>bureau</w:t>
      </w:r>
      <w:r w:rsidRPr="00033D8D">
        <w:rPr>
          <w:sz w:val="20"/>
          <w:szCs w:val="20"/>
        </w:rPr>
        <w:t xml:space="preserve"> RH en charge de leur </w:t>
      </w:r>
      <w:r w:rsidR="0009713D">
        <w:rPr>
          <w:sz w:val="20"/>
          <w:szCs w:val="20"/>
        </w:rPr>
        <w:t>rémunération :</w:t>
      </w:r>
      <w:r w:rsidR="00E3470F">
        <w:rPr>
          <w:sz w:val="20"/>
          <w:szCs w:val="20"/>
        </w:rPr>
        <w:t xml:space="preserve"> </w:t>
      </w:r>
    </w:p>
    <w:p w14:paraId="5D3540DD" w14:textId="77777777" w:rsidR="00033D8D" w:rsidRPr="000171EB" w:rsidRDefault="00033D8D" w:rsidP="00033D8D">
      <w:pPr>
        <w:adjustRightInd w:val="0"/>
        <w:ind w:left="198"/>
        <w:jc w:val="both"/>
        <w:rPr>
          <w:sz w:val="16"/>
          <w:szCs w:val="20"/>
        </w:rPr>
      </w:pPr>
    </w:p>
    <w:p w14:paraId="5F063B32" w14:textId="77777777" w:rsidR="00033D8D" w:rsidRDefault="00033D8D" w:rsidP="000171EB">
      <w:pPr>
        <w:widowControl/>
        <w:numPr>
          <w:ilvl w:val="0"/>
          <w:numId w:val="18"/>
        </w:numPr>
        <w:adjustRightInd w:val="0"/>
        <w:ind w:left="709" w:hanging="284"/>
        <w:jc w:val="both"/>
        <w:rPr>
          <w:sz w:val="20"/>
          <w:szCs w:val="20"/>
        </w:rPr>
      </w:pPr>
      <w:r w:rsidRPr="00033D8D">
        <w:rPr>
          <w:b/>
          <w:sz w:val="20"/>
          <w:szCs w:val="20"/>
        </w:rPr>
        <w:t xml:space="preserve">DPE </w:t>
      </w:r>
      <w:r w:rsidR="00A31084">
        <w:rPr>
          <w:b/>
          <w:sz w:val="20"/>
          <w:szCs w:val="20"/>
        </w:rPr>
        <w:t>B</w:t>
      </w:r>
      <w:r w:rsidRPr="00033D8D">
        <w:rPr>
          <w:b/>
          <w:sz w:val="20"/>
          <w:szCs w:val="20"/>
        </w:rPr>
        <w:t>1</w:t>
      </w:r>
      <w:r w:rsidR="009678D7">
        <w:rPr>
          <w:sz w:val="20"/>
          <w:szCs w:val="20"/>
        </w:rPr>
        <w:t xml:space="preserve"> : </w:t>
      </w:r>
      <w:r w:rsidR="00A31084">
        <w:rPr>
          <w:sz w:val="20"/>
          <w:szCs w:val="20"/>
        </w:rPr>
        <w:t>enseignants du second degré public</w:t>
      </w:r>
    </w:p>
    <w:p w14:paraId="0D19CFFF" w14:textId="77777777" w:rsidR="00A31084" w:rsidRDefault="00A31084" w:rsidP="000171EB">
      <w:pPr>
        <w:widowControl/>
        <w:numPr>
          <w:ilvl w:val="0"/>
          <w:numId w:val="18"/>
        </w:numPr>
        <w:adjustRightInd w:val="0"/>
        <w:ind w:left="709" w:hanging="284"/>
        <w:jc w:val="both"/>
        <w:rPr>
          <w:sz w:val="20"/>
          <w:szCs w:val="20"/>
        </w:rPr>
      </w:pPr>
      <w:r w:rsidRPr="00033D8D">
        <w:rPr>
          <w:b/>
          <w:sz w:val="20"/>
          <w:szCs w:val="20"/>
        </w:rPr>
        <w:t xml:space="preserve">DPE </w:t>
      </w:r>
      <w:r>
        <w:rPr>
          <w:b/>
          <w:sz w:val="20"/>
          <w:szCs w:val="20"/>
        </w:rPr>
        <w:t>B</w:t>
      </w:r>
      <w:r w:rsidR="000171EB">
        <w:rPr>
          <w:b/>
          <w:sz w:val="20"/>
          <w:szCs w:val="20"/>
        </w:rPr>
        <w:t>3</w:t>
      </w:r>
      <w:r w:rsidR="009678D7">
        <w:rPr>
          <w:sz w:val="20"/>
          <w:szCs w:val="20"/>
        </w:rPr>
        <w:t xml:space="preserve"> : </w:t>
      </w:r>
      <w:r>
        <w:rPr>
          <w:sz w:val="20"/>
          <w:szCs w:val="20"/>
        </w:rPr>
        <w:t>enseignants du second degré privé sous contrat</w:t>
      </w:r>
      <w:r w:rsidRPr="00033D8D">
        <w:rPr>
          <w:sz w:val="20"/>
          <w:szCs w:val="20"/>
        </w:rPr>
        <w:t xml:space="preserve"> </w:t>
      </w:r>
    </w:p>
    <w:p w14:paraId="324D3384" w14:textId="77777777" w:rsidR="00033D8D" w:rsidRPr="00033D8D" w:rsidRDefault="00033D8D" w:rsidP="000171EB">
      <w:pPr>
        <w:widowControl/>
        <w:numPr>
          <w:ilvl w:val="0"/>
          <w:numId w:val="18"/>
        </w:numPr>
        <w:adjustRightInd w:val="0"/>
        <w:ind w:left="709" w:hanging="284"/>
        <w:jc w:val="both"/>
        <w:rPr>
          <w:sz w:val="20"/>
          <w:szCs w:val="20"/>
        </w:rPr>
      </w:pPr>
      <w:r w:rsidRPr="00033D8D">
        <w:rPr>
          <w:b/>
          <w:sz w:val="20"/>
          <w:szCs w:val="20"/>
        </w:rPr>
        <w:t>DPAE 1</w:t>
      </w:r>
      <w:r w:rsidR="009678D7">
        <w:rPr>
          <w:sz w:val="20"/>
          <w:szCs w:val="20"/>
        </w:rPr>
        <w:t xml:space="preserve"> : </w:t>
      </w:r>
      <w:r w:rsidRPr="00033D8D">
        <w:rPr>
          <w:sz w:val="20"/>
          <w:szCs w:val="20"/>
        </w:rPr>
        <w:t xml:space="preserve">personnels de direction, d’inspection, de filière </w:t>
      </w:r>
      <w:r w:rsidR="00A31084">
        <w:rPr>
          <w:sz w:val="20"/>
          <w:szCs w:val="20"/>
        </w:rPr>
        <w:t>médico-sociale et ITRF</w:t>
      </w:r>
    </w:p>
    <w:p w14:paraId="56BE2C8A" w14:textId="77777777" w:rsidR="00033D8D" w:rsidRPr="00033D8D" w:rsidRDefault="00033D8D" w:rsidP="000171EB">
      <w:pPr>
        <w:widowControl/>
        <w:numPr>
          <w:ilvl w:val="0"/>
          <w:numId w:val="18"/>
        </w:numPr>
        <w:adjustRightInd w:val="0"/>
        <w:ind w:left="709" w:hanging="284"/>
        <w:jc w:val="both"/>
        <w:rPr>
          <w:sz w:val="20"/>
          <w:szCs w:val="20"/>
        </w:rPr>
      </w:pPr>
      <w:r w:rsidRPr="00033D8D">
        <w:rPr>
          <w:b/>
          <w:sz w:val="20"/>
          <w:szCs w:val="20"/>
        </w:rPr>
        <w:t>DPAE 2</w:t>
      </w:r>
      <w:r w:rsidR="009678D7">
        <w:rPr>
          <w:sz w:val="20"/>
          <w:szCs w:val="20"/>
        </w:rPr>
        <w:t xml:space="preserve"> : </w:t>
      </w:r>
      <w:r w:rsidRPr="00033D8D">
        <w:rPr>
          <w:sz w:val="20"/>
          <w:szCs w:val="20"/>
        </w:rPr>
        <w:t>personnels administratifs (</w:t>
      </w:r>
      <w:r w:rsidR="00A31084">
        <w:rPr>
          <w:sz w:val="20"/>
          <w:szCs w:val="20"/>
        </w:rPr>
        <w:t xml:space="preserve">A, </w:t>
      </w:r>
      <w:r w:rsidRPr="00033D8D">
        <w:rPr>
          <w:sz w:val="20"/>
          <w:szCs w:val="20"/>
        </w:rPr>
        <w:t>B et C)</w:t>
      </w:r>
    </w:p>
    <w:p w14:paraId="58BF7EF3" w14:textId="77777777" w:rsidR="009678D7" w:rsidRDefault="009678D7" w:rsidP="000171EB">
      <w:pPr>
        <w:widowControl/>
        <w:numPr>
          <w:ilvl w:val="0"/>
          <w:numId w:val="18"/>
        </w:numPr>
        <w:adjustRightInd w:val="0"/>
        <w:ind w:left="709" w:hanging="284"/>
        <w:jc w:val="both"/>
        <w:rPr>
          <w:sz w:val="20"/>
          <w:szCs w:val="20"/>
        </w:rPr>
      </w:pPr>
      <w:r w:rsidRPr="00CB2C77">
        <w:rPr>
          <w:b/>
          <w:sz w:val="20"/>
          <w:szCs w:val="20"/>
        </w:rPr>
        <w:t xml:space="preserve">DSDEN 39 </w:t>
      </w:r>
      <w:r>
        <w:rPr>
          <w:b/>
          <w:sz w:val="20"/>
          <w:szCs w:val="20"/>
        </w:rPr>
        <w:t>-</w:t>
      </w:r>
      <w:r w:rsidRPr="00CB2C77">
        <w:rPr>
          <w:b/>
          <w:sz w:val="20"/>
          <w:szCs w:val="20"/>
        </w:rPr>
        <w:t xml:space="preserve"> SIG 1D</w:t>
      </w:r>
      <w:r>
        <w:rPr>
          <w:sz w:val="20"/>
          <w:szCs w:val="20"/>
        </w:rPr>
        <w:t> : enseignants du 1</w:t>
      </w:r>
      <w:r w:rsidRPr="001E5A39">
        <w:rPr>
          <w:sz w:val="20"/>
          <w:szCs w:val="20"/>
          <w:vertAlign w:val="superscript"/>
        </w:rPr>
        <w:t>er</w:t>
      </w:r>
      <w:r>
        <w:rPr>
          <w:sz w:val="20"/>
          <w:szCs w:val="20"/>
        </w:rPr>
        <w:t xml:space="preserve"> degré public</w:t>
      </w:r>
    </w:p>
    <w:p w14:paraId="457621CB" w14:textId="77777777" w:rsidR="009678D7" w:rsidRDefault="009678D7" w:rsidP="000171EB">
      <w:pPr>
        <w:widowControl/>
        <w:numPr>
          <w:ilvl w:val="0"/>
          <w:numId w:val="18"/>
        </w:numPr>
        <w:adjustRightInd w:val="0"/>
        <w:ind w:left="709" w:hanging="284"/>
        <w:jc w:val="both"/>
        <w:rPr>
          <w:sz w:val="20"/>
          <w:szCs w:val="20"/>
        </w:rPr>
      </w:pPr>
      <w:r w:rsidRPr="009678D7">
        <w:rPr>
          <w:b/>
          <w:sz w:val="20"/>
          <w:szCs w:val="20"/>
        </w:rPr>
        <w:t xml:space="preserve">DSDEN 70 </w:t>
      </w:r>
      <w:r>
        <w:rPr>
          <w:b/>
          <w:sz w:val="20"/>
          <w:szCs w:val="20"/>
        </w:rPr>
        <w:t>-</w:t>
      </w:r>
      <w:r w:rsidRPr="009678D7">
        <w:rPr>
          <w:b/>
          <w:sz w:val="20"/>
          <w:szCs w:val="20"/>
        </w:rPr>
        <w:t xml:space="preserve"> SI</w:t>
      </w:r>
      <w:r w:rsidR="00D73EF3">
        <w:rPr>
          <w:b/>
          <w:sz w:val="20"/>
          <w:szCs w:val="20"/>
        </w:rPr>
        <w:t>G</w:t>
      </w:r>
      <w:r w:rsidRPr="009678D7">
        <w:rPr>
          <w:b/>
          <w:sz w:val="20"/>
          <w:szCs w:val="20"/>
        </w:rPr>
        <w:t xml:space="preserve"> 1D</w:t>
      </w:r>
      <w:r>
        <w:rPr>
          <w:sz w:val="20"/>
          <w:szCs w:val="20"/>
        </w:rPr>
        <w:t> : enseignants du 1</w:t>
      </w:r>
      <w:r w:rsidRPr="00CB2C77">
        <w:rPr>
          <w:sz w:val="20"/>
          <w:szCs w:val="20"/>
          <w:vertAlign w:val="superscript"/>
        </w:rPr>
        <w:t>er</w:t>
      </w:r>
      <w:r>
        <w:rPr>
          <w:sz w:val="20"/>
          <w:szCs w:val="20"/>
        </w:rPr>
        <w:t xml:space="preserve"> degré privé sous contrat</w:t>
      </w:r>
    </w:p>
    <w:p w14:paraId="5FFB49B4" w14:textId="77777777" w:rsidR="000171EB" w:rsidRPr="00033D8D" w:rsidRDefault="000171EB" w:rsidP="000171EB">
      <w:pPr>
        <w:widowControl/>
        <w:numPr>
          <w:ilvl w:val="0"/>
          <w:numId w:val="18"/>
        </w:numPr>
        <w:adjustRightInd w:val="0"/>
        <w:ind w:left="709" w:hanging="284"/>
        <w:jc w:val="both"/>
        <w:rPr>
          <w:sz w:val="20"/>
          <w:szCs w:val="20"/>
        </w:rPr>
      </w:pPr>
      <w:r>
        <w:rPr>
          <w:b/>
          <w:sz w:val="20"/>
          <w:szCs w:val="20"/>
        </w:rPr>
        <w:t>DSDEN 90 -</w:t>
      </w:r>
      <w:r>
        <w:rPr>
          <w:sz w:val="20"/>
          <w:szCs w:val="20"/>
        </w:rPr>
        <w:t xml:space="preserve"> </w:t>
      </w:r>
      <w:r w:rsidRPr="000171EB">
        <w:rPr>
          <w:b/>
          <w:sz w:val="20"/>
          <w:szCs w:val="20"/>
        </w:rPr>
        <w:t>SIG AESH</w:t>
      </w:r>
      <w:r>
        <w:rPr>
          <w:sz w:val="20"/>
          <w:szCs w:val="20"/>
        </w:rPr>
        <w:t> : AESH en CDI</w:t>
      </w:r>
    </w:p>
    <w:p w14:paraId="464759E1" w14:textId="77777777" w:rsidR="00376F4D" w:rsidRPr="000171EB" w:rsidRDefault="00376F4D" w:rsidP="00B55B58">
      <w:pPr>
        <w:pStyle w:val="Corpsdetexte"/>
        <w:rPr>
          <w:sz w:val="12"/>
          <w:szCs w:val="20"/>
        </w:rPr>
      </w:pPr>
    </w:p>
    <w:tbl>
      <w:tblPr>
        <w:tblpPr w:leftFromText="141" w:rightFromText="141" w:vertAnchor="text" w:horzAnchor="margin" w:tblpXSpec="center" w:tblpY="148"/>
        <w:tblW w:w="7356" w:type="dxa"/>
        <w:tblBorders>
          <w:top w:val="single" w:sz="4" w:space="0" w:color="002F8E"/>
          <w:left w:val="single" w:sz="4" w:space="0" w:color="002F8E"/>
          <w:bottom w:val="single" w:sz="4" w:space="0" w:color="002F8E"/>
          <w:right w:val="single" w:sz="4" w:space="0" w:color="002F8E"/>
          <w:insideH w:val="single" w:sz="4" w:space="0" w:color="002F8E"/>
          <w:insideV w:val="single" w:sz="4" w:space="0" w:color="002F8E"/>
        </w:tblBorders>
        <w:tblLayout w:type="fixed"/>
        <w:tblLook w:val="04A0" w:firstRow="1" w:lastRow="0" w:firstColumn="1" w:lastColumn="0" w:noHBand="0" w:noVBand="1"/>
      </w:tblPr>
      <w:tblGrid>
        <w:gridCol w:w="3671"/>
        <w:gridCol w:w="3685"/>
      </w:tblGrid>
      <w:tr w:rsidR="00376F4D" w:rsidRPr="00376F4D" w14:paraId="73C595FB" w14:textId="77777777" w:rsidTr="00760D6F">
        <w:trPr>
          <w:trHeight w:val="557"/>
        </w:trPr>
        <w:tc>
          <w:tcPr>
            <w:tcW w:w="3671" w:type="dxa"/>
            <w:tcBorders>
              <w:right w:val="single" w:sz="4" w:space="0" w:color="FFFFFF" w:themeColor="background1"/>
            </w:tcBorders>
            <w:shd w:val="clear" w:color="auto" w:fill="002E8A"/>
            <w:vAlign w:val="center"/>
          </w:tcPr>
          <w:p w14:paraId="3A4FDE43" w14:textId="77777777" w:rsidR="00376F4D" w:rsidRPr="00376F4D" w:rsidRDefault="00376F4D" w:rsidP="000171EB">
            <w:pPr>
              <w:adjustRightInd w:val="0"/>
              <w:jc w:val="center"/>
              <w:rPr>
                <w:b/>
                <w:color w:val="FFFFFF" w:themeColor="background1"/>
                <w:sz w:val="18"/>
              </w:rPr>
            </w:pPr>
            <w:r w:rsidRPr="00376F4D">
              <w:rPr>
                <w:b/>
                <w:color w:val="FFFFFF" w:themeColor="background1"/>
                <w:sz w:val="18"/>
              </w:rPr>
              <w:t>LIEU DU CONGÉ BONIFIÉ :</w:t>
            </w:r>
          </w:p>
        </w:tc>
        <w:tc>
          <w:tcPr>
            <w:tcW w:w="3685" w:type="dxa"/>
            <w:tcBorders>
              <w:left w:val="single" w:sz="4" w:space="0" w:color="FFFFFF" w:themeColor="background1"/>
            </w:tcBorders>
            <w:shd w:val="clear" w:color="auto" w:fill="002E8A"/>
            <w:vAlign w:val="center"/>
          </w:tcPr>
          <w:p w14:paraId="250E7BCB" w14:textId="77777777" w:rsidR="00376F4D" w:rsidRPr="00376F4D" w:rsidRDefault="00376F4D" w:rsidP="000171EB">
            <w:pPr>
              <w:adjustRightInd w:val="0"/>
              <w:jc w:val="center"/>
              <w:rPr>
                <w:b/>
                <w:color w:val="FFFFFF" w:themeColor="background1"/>
                <w:sz w:val="18"/>
              </w:rPr>
            </w:pPr>
            <w:r w:rsidRPr="00376F4D">
              <w:rPr>
                <w:b/>
                <w:color w:val="FFFFFF" w:themeColor="background1"/>
                <w:sz w:val="18"/>
              </w:rPr>
              <w:t>MAJORATION VERSEE</w:t>
            </w:r>
          </w:p>
          <w:p w14:paraId="37AFF137" w14:textId="77777777" w:rsidR="00376F4D" w:rsidRPr="00376F4D" w:rsidRDefault="00376F4D" w:rsidP="000171EB">
            <w:pPr>
              <w:adjustRightInd w:val="0"/>
              <w:jc w:val="center"/>
              <w:rPr>
                <w:b/>
                <w:color w:val="FFFFFF" w:themeColor="background1"/>
                <w:sz w:val="18"/>
              </w:rPr>
            </w:pPr>
            <w:r w:rsidRPr="00376F4D">
              <w:rPr>
                <w:b/>
                <w:color w:val="FFFFFF" w:themeColor="background1"/>
                <w:sz w:val="18"/>
              </w:rPr>
              <w:t>( % du Traitement Indiciaire de Base)</w:t>
            </w:r>
          </w:p>
        </w:tc>
      </w:tr>
      <w:tr w:rsidR="00376F4D" w:rsidRPr="00376F4D" w14:paraId="25DD7BA1" w14:textId="77777777" w:rsidTr="00760D6F">
        <w:trPr>
          <w:trHeight w:val="119"/>
        </w:trPr>
        <w:tc>
          <w:tcPr>
            <w:tcW w:w="3671" w:type="dxa"/>
            <w:vAlign w:val="center"/>
          </w:tcPr>
          <w:p w14:paraId="7E17B790" w14:textId="77777777" w:rsidR="00376F4D" w:rsidRPr="00376F4D" w:rsidRDefault="00376F4D" w:rsidP="000171EB">
            <w:pPr>
              <w:adjustRightInd w:val="0"/>
              <w:rPr>
                <w:b/>
                <w:color w:val="002060"/>
                <w:sz w:val="18"/>
              </w:rPr>
            </w:pPr>
            <w:r w:rsidRPr="00376F4D">
              <w:rPr>
                <w:b/>
                <w:color w:val="002060"/>
                <w:sz w:val="18"/>
              </w:rPr>
              <w:t>Guadeloupe</w:t>
            </w:r>
          </w:p>
        </w:tc>
        <w:tc>
          <w:tcPr>
            <w:tcW w:w="3685" w:type="dxa"/>
            <w:vAlign w:val="center"/>
          </w:tcPr>
          <w:p w14:paraId="6EEA1967" w14:textId="77777777" w:rsidR="00376F4D" w:rsidRPr="00376F4D" w:rsidRDefault="00376F4D" w:rsidP="000171EB">
            <w:pPr>
              <w:adjustRightInd w:val="0"/>
              <w:jc w:val="center"/>
              <w:rPr>
                <w:sz w:val="18"/>
              </w:rPr>
            </w:pPr>
            <w:r w:rsidRPr="00376F4D">
              <w:rPr>
                <w:sz w:val="18"/>
              </w:rPr>
              <w:t>40 %</w:t>
            </w:r>
          </w:p>
        </w:tc>
      </w:tr>
      <w:tr w:rsidR="00376F4D" w:rsidRPr="00376F4D" w14:paraId="48AADC44" w14:textId="77777777" w:rsidTr="00760D6F">
        <w:trPr>
          <w:trHeight w:val="110"/>
        </w:trPr>
        <w:tc>
          <w:tcPr>
            <w:tcW w:w="3671" w:type="dxa"/>
            <w:vAlign w:val="center"/>
          </w:tcPr>
          <w:p w14:paraId="3CDCA907" w14:textId="77777777" w:rsidR="00376F4D" w:rsidRPr="00376F4D" w:rsidRDefault="00376F4D" w:rsidP="000171EB">
            <w:pPr>
              <w:adjustRightInd w:val="0"/>
              <w:rPr>
                <w:b/>
                <w:color w:val="002060"/>
                <w:sz w:val="18"/>
              </w:rPr>
            </w:pPr>
            <w:r w:rsidRPr="00376F4D">
              <w:rPr>
                <w:b/>
                <w:color w:val="002060"/>
                <w:sz w:val="18"/>
              </w:rPr>
              <w:t>Martinique</w:t>
            </w:r>
          </w:p>
        </w:tc>
        <w:tc>
          <w:tcPr>
            <w:tcW w:w="3685" w:type="dxa"/>
            <w:vAlign w:val="center"/>
          </w:tcPr>
          <w:p w14:paraId="784D4DB4" w14:textId="77777777" w:rsidR="00376F4D" w:rsidRPr="00376F4D" w:rsidRDefault="00376F4D" w:rsidP="000171EB">
            <w:pPr>
              <w:adjustRightInd w:val="0"/>
              <w:jc w:val="center"/>
              <w:rPr>
                <w:sz w:val="18"/>
              </w:rPr>
            </w:pPr>
            <w:r w:rsidRPr="00376F4D">
              <w:rPr>
                <w:sz w:val="18"/>
              </w:rPr>
              <w:t>40 %</w:t>
            </w:r>
          </w:p>
        </w:tc>
      </w:tr>
      <w:tr w:rsidR="00376F4D" w:rsidRPr="00376F4D" w14:paraId="79C3C608" w14:textId="77777777" w:rsidTr="00760D6F">
        <w:trPr>
          <w:trHeight w:val="104"/>
        </w:trPr>
        <w:tc>
          <w:tcPr>
            <w:tcW w:w="3671" w:type="dxa"/>
            <w:vAlign w:val="center"/>
          </w:tcPr>
          <w:p w14:paraId="5DD0E981" w14:textId="77777777" w:rsidR="00376F4D" w:rsidRPr="00376F4D" w:rsidRDefault="00376F4D" w:rsidP="000171EB">
            <w:pPr>
              <w:adjustRightInd w:val="0"/>
              <w:rPr>
                <w:b/>
                <w:color w:val="002060"/>
                <w:sz w:val="18"/>
              </w:rPr>
            </w:pPr>
            <w:r w:rsidRPr="00376F4D">
              <w:rPr>
                <w:b/>
                <w:color w:val="002060"/>
                <w:sz w:val="18"/>
              </w:rPr>
              <w:t>Guyane</w:t>
            </w:r>
          </w:p>
        </w:tc>
        <w:tc>
          <w:tcPr>
            <w:tcW w:w="3685" w:type="dxa"/>
            <w:vAlign w:val="center"/>
          </w:tcPr>
          <w:p w14:paraId="329ADAAC" w14:textId="77777777" w:rsidR="00376F4D" w:rsidRPr="00376F4D" w:rsidRDefault="00376F4D" w:rsidP="000171EB">
            <w:pPr>
              <w:adjustRightInd w:val="0"/>
              <w:jc w:val="center"/>
              <w:rPr>
                <w:sz w:val="18"/>
              </w:rPr>
            </w:pPr>
            <w:r w:rsidRPr="00376F4D">
              <w:rPr>
                <w:sz w:val="18"/>
              </w:rPr>
              <w:t>40 %</w:t>
            </w:r>
          </w:p>
        </w:tc>
      </w:tr>
      <w:tr w:rsidR="00376F4D" w:rsidRPr="00376F4D" w14:paraId="54DC8DB5" w14:textId="77777777" w:rsidTr="00760D6F">
        <w:trPr>
          <w:trHeight w:val="236"/>
        </w:trPr>
        <w:tc>
          <w:tcPr>
            <w:tcW w:w="3671" w:type="dxa"/>
            <w:vAlign w:val="center"/>
          </w:tcPr>
          <w:p w14:paraId="66912108" w14:textId="77777777" w:rsidR="00376F4D" w:rsidRPr="00376F4D" w:rsidRDefault="00376F4D" w:rsidP="000171EB">
            <w:pPr>
              <w:adjustRightInd w:val="0"/>
              <w:rPr>
                <w:b/>
                <w:color w:val="002060"/>
                <w:sz w:val="18"/>
              </w:rPr>
            </w:pPr>
            <w:r w:rsidRPr="00376F4D">
              <w:rPr>
                <w:b/>
                <w:color w:val="002060"/>
                <w:sz w:val="18"/>
              </w:rPr>
              <w:t>La Réunion</w:t>
            </w:r>
          </w:p>
        </w:tc>
        <w:tc>
          <w:tcPr>
            <w:tcW w:w="3685" w:type="dxa"/>
            <w:vAlign w:val="center"/>
          </w:tcPr>
          <w:p w14:paraId="68AD211F" w14:textId="77777777" w:rsidR="00376F4D" w:rsidRPr="00376F4D" w:rsidRDefault="00376F4D" w:rsidP="000171EB">
            <w:pPr>
              <w:adjustRightInd w:val="0"/>
              <w:jc w:val="center"/>
              <w:rPr>
                <w:sz w:val="18"/>
              </w:rPr>
            </w:pPr>
            <w:r w:rsidRPr="00376F4D">
              <w:rPr>
                <w:sz w:val="18"/>
              </w:rPr>
              <w:t>35 %</w:t>
            </w:r>
          </w:p>
        </w:tc>
      </w:tr>
      <w:tr w:rsidR="00376F4D" w:rsidRPr="00376F4D" w14:paraId="47EB97C2" w14:textId="77777777" w:rsidTr="00760D6F">
        <w:trPr>
          <w:trHeight w:val="84"/>
        </w:trPr>
        <w:tc>
          <w:tcPr>
            <w:tcW w:w="3671" w:type="dxa"/>
            <w:vAlign w:val="center"/>
          </w:tcPr>
          <w:p w14:paraId="2C3544BA" w14:textId="77777777" w:rsidR="00376F4D" w:rsidRPr="00376F4D" w:rsidRDefault="00376F4D" w:rsidP="000171EB">
            <w:pPr>
              <w:adjustRightInd w:val="0"/>
              <w:rPr>
                <w:b/>
                <w:color w:val="002060"/>
                <w:sz w:val="18"/>
              </w:rPr>
            </w:pPr>
            <w:r w:rsidRPr="00376F4D">
              <w:rPr>
                <w:b/>
                <w:color w:val="002060"/>
                <w:sz w:val="18"/>
              </w:rPr>
              <w:t>Mayotte</w:t>
            </w:r>
          </w:p>
        </w:tc>
        <w:tc>
          <w:tcPr>
            <w:tcW w:w="3685" w:type="dxa"/>
            <w:vAlign w:val="center"/>
          </w:tcPr>
          <w:p w14:paraId="129A6399" w14:textId="77777777" w:rsidR="00376F4D" w:rsidRPr="00376F4D" w:rsidRDefault="00376F4D" w:rsidP="000171EB">
            <w:pPr>
              <w:adjustRightInd w:val="0"/>
              <w:jc w:val="center"/>
              <w:rPr>
                <w:sz w:val="18"/>
              </w:rPr>
            </w:pPr>
            <w:r w:rsidRPr="00376F4D">
              <w:rPr>
                <w:sz w:val="18"/>
              </w:rPr>
              <w:t>40 %</w:t>
            </w:r>
          </w:p>
        </w:tc>
      </w:tr>
      <w:tr w:rsidR="00376F4D" w:rsidRPr="00376F4D" w14:paraId="47BEAB15" w14:textId="77777777" w:rsidTr="00760D6F">
        <w:trPr>
          <w:trHeight w:val="127"/>
        </w:trPr>
        <w:tc>
          <w:tcPr>
            <w:tcW w:w="3671" w:type="dxa"/>
            <w:vAlign w:val="center"/>
          </w:tcPr>
          <w:p w14:paraId="3429C9A4" w14:textId="77777777" w:rsidR="00376F4D" w:rsidRPr="00376F4D" w:rsidRDefault="00376F4D" w:rsidP="000171EB">
            <w:pPr>
              <w:adjustRightInd w:val="0"/>
              <w:rPr>
                <w:b/>
                <w:color w:val="002060"/>
                <w:sz w:val="18"/>
              </w:rPr>
            </w:pPr>
            <w:r w:rsidRPr="00376F4D">
              <w:rPr>
                <w:b/>
                <w:color w:val="002060"/>
                <w:sz w:val="18"/>
              </w:rPr>
              <w:t>Saint-Pierre et Miquelon</w:t>
            </w:r>
          </w:p>
        </w:tc>
        <w:tc>
          <w:tcPr>
            <w:tcW w:w="3685" w:type="dxa"/>
            <w:vAlign w:val="center"/>
          </w:tcPr>
          <w:p w14:paraId="42295C17" w14:textId="77777777" w:rsidR="00376F4D" w:rsidRPr="00376F4D" w:rsidRDefault="00376F4D" w:rsidP="000171EB">
            <w:pPr>
              <w:adjustRightInd w:val="0"/>
              <w:jc w:val="center"/>
              <w:rPr>
                <w:sz w:val="18"/>
              </w:rPr>
            </w:pPr>
            <w:r w:rsidRPr="00376F4D">
              <w:rPr>
                <w:sz w:val="18"/>
              </w:rPr>
              <w:t>40 %</w:t>
            </w:r>
          </w:p>
        </w:tc>
      </w:tr>
      <w:tr w:rsidR="00376F4D" w:rsidRPr="00376F4D" w14:paraId="24D9113F" w14:textId="77777777" w:rsidTr="00760D6F">
        <w:trPr>
          <w:trHeight w:val="132"/>
        </w:trPr>
        <w:tc>
          <w:tcPr>
            <w:tcW w:w="3671" w:type="dxa"/>
            <w:vAlign w:val="center"/>
          </w:tcPr>
          <w:p w14:paraId="78B61E77" w14:textId="77777777" w:rsidR="00376F4D" w:rsidRPr="00376F4D" w:rsidRDefault="00376F4D" w:rsidP="000171EB">
            <w:pPr>
              <w:adjustRightInd w:val="0"/>
              <w:rPr>
                <w:b/>
                <w:color w:val="002060"/>
                <w:sz w:val="18"/>
              </w:rPr>
            </w:pPr>
            <w:r w:rsidRPr="00376F4D">
              <w:rPr>
                <w:b/>
                <w:color w:val="002060"/>
                <w:sz w:val="18"/>
              </w:rPr>
              <w:t>Wallis et Futuna</w:t>
            </w:r>
          </w:p>
        </w:tc>
        <w:tc>
          <w:tcPr>
            <w:tcW w:w="3685" w:type="dxa"/>
            <w:vAlign w:val="bottom"/>
          </w:tcPr>
          <w:p w14:paraId="7DBBB343" w14:textId="77777777" w:rsidR="00376F4D" w:rsidRPr="00376F4D" w:rsidRDefault="00376F4D" w:rsidP="000171EB">
            <w:pPr>
              <w:adjustRightInd w:val="0"/>
              <w:jc w:val="center"/>
              <w:rPr>
                <w:sz w:val="18"/>
              </w:rPr>
            </w:pPr>
            <w:r w:rsidRPr="00376F4D">
              <w:rPr>
                <w:sz w:val="18"/>
              </w:rPr>
              <w:t>105 %</w:t>
            </w:r>
          </w:p>
        </w:tc>
      </w:tr>
      <w:tr w:rsidR="00376F4D" w:rsidRPr="00376F4D" w14:paraId="7EC55464" w14:textId="77777777" w:rsidTr="00760D6F">
        <w:trPr>
          <w:trHeight w:val="249"/>
        </w:trPr>
        <w:tc>
          <w:tcPr>
            <w:tcW w:w="3671" w:type="dxa"/>
            <w:vAlign w:val="center"/>
          </w:tcPr>
          <w:p w14:paraId="367753C3" w14:textId="77777777" w:rsidR="00376F4D" w:rsidRPr="00376F4D" w:rsidRDefault="00376F4D" w:rsidP="000171EB">
            <w:pPr>
              <w:adjustRightInd w:val="0"/>
              <w:rPr>
                <w:b/>
                <w:color w:val="002060"/>
                <w:sz w:val="18"/>
              </w:rPr>
            </w:pPr>
            <w:r w:rsidRPr="00376F4D">
              <w:rPr>
                <w:b/>
                <w:color w:val="002060"/>
                <w:sz w:val="18"/>
              </w:rPr>
              <w:t>Polynésie Française</w:t>
            </w:r>
          </w:p>
        </w:tc>
        <w:tc>
          <w:tcPr>
            <w:tcW w:w="3685" w:type="dxa"/>
            <w:vAlign w:val="center"/>
          </w:tcPr>
          <w:p w14:paraId="1AD52A52" w14:textId="77777777" w:rsidR="00376F4D" w:rsidRPr="00376F4D" w:rsidRDefault="00376F4D" w:rsidP="000171EB">
            <w:pPr>
              <w:adjustRightInd w:val="0"/>
              <w:jc w:val="center"/>
              <w:rPr>
                <w:sz w:val="18"/>
              </w:rPr>
            </w:pPr>
            <w:r w:rsidRPr="00376F4D">
              <w:rPr>
                <w:sz w:val="18"/>
              </w:rPr>
              <w:t>84 % ou 108 % selon le Territoire</w:t>
            </w:r>
          </w:p>
        </w:tc>
      </w:tr>
      <w:tr w:rsidR="00376F4D" w:rsidRPr="00376F4D" w14:paraId="6090F12F" w14:textId="77777777" w:rsidTr="00760D6F">
        <w:trPr>
          <w:trHeight w:val="254"/>
        </w:trPr>
        <w:tc>
          <w:tcPr>
            <w:tcW w:w="3671" w:type="dxa"/>
            <w:vAlign w:val="center"/>
          </w:tcPr>
          <w:p w14:paraId="734380E7" w14:textId="77777777" w:rsidR="00376F4D" w:rsidRPr="00376F4D" w:rsidRDefault="00376F4D" w:rsidP="000171EB">
            <w:pPr>
              <w:adjustRightInd w:val="0"/>
              <w:rPr>
                <w:b/>
                <w:color w:val="002060"/>
                <w:sz w:val="18"/>
              </w:rPr>
            </w:pPr>
            <w:r w:rsidRPr="00376F4D">
              <w:rPr>
                <w:b/>
                <w:color w:val="002060"/>
                <w:sz w:val="18"/>
              </w:rPr>
              <w:t>Saint-Barthélemy</w:t>
            </w:r>
          </w:p>
        </w:tc>
        <w:tc>
          <w:tcPr>
            <w:tcW w:w="3685" w:type="dxa"/>
            <w:vAlign w:val="center"/>
          </w:tcPr>
          <w:p w14:paraId="7FB5126E" w14:textId="77777777" w:rsidR="00376F4D" w:rsidRPr="00376F4D" w:rsidRDefault="00376F4D" w:rsidP="000171EB">
            <w:pPr>
              <w:adjustRightInd w:val="0"/>
              <w:jc w:val="center"/>
              <w:rPr>
                <w:sz w:val="18"/>
              </w:rPr>
            </w:pPr>
            <w:r w:rsidRPr="00376F4D">
              <w:rPr>
                <w:sz w:val="18"/>
              </w:rPr>
              <w:t>40 %</w:t>
            </w:r>
          </w:p>
        </w:tc>
      </w:tr>
      <w:tr w:rsidR="00376F4D" w:rsidRPr="00376F4D" w14:paraId="653FDB89" w14:textId="77777777" w:rsidTr="00760D6F">
        <w:trPr>
          <w:trHeight w:val="87"/>
        </w:trPr>
        <w:tc>
          <w:tcPr>
            <w:tcW w:w="3671" w:type="dxa"/>
            <w:vAlign w:val="center"/>
          </w:tcPr>
          <w:p w14:paraId="33816F38" w14:textId="77777777" w:rsidR="00376F4D" w:rsidRPr="00376F4D" w:rsidRDefault="00376F4D" w:rsidP="000171EB">
            <w:pPr>
              <w:adjustRightInd w:val="0"/>
              <w:rPr>
                <w:b/>
                <w:color w:val="002060"/>
                <w:sz w:val="18"/>
              </w:rPr>
            </w:pPr>
            <w:r w:rsidRPr="00376F4D">
              <w:rPr>
                <w:b/>
                <w:color w:val="002060"/>
                <w:sz w:val="18"/>
              </w:rPr>
              <w:t>Saint-Martin</w:t>
            </w:r>
          </w:p>
        </w:tc>
        <w:tc>
          <w:tcPr>
            <w:tcW w:w="3685" w:type="dxa"/>
            <w:vAlign w:val="center"/>
          </w:tcPr>
          <w:p w14:paraId="07947457" w14:textId="77777777" w:rsidR="00376F4D" w:rsidRPr="00376F4D" w:rsidRDefault="00376F4D" w:rsidP="000171EB">
            <w:pPr>
              <w:adjustRightInd w:val="0"/>
              <w:jc w:val="center"/>
              <w:rPr>
                <w:sz w:val="18"/>
              </w:rPr>
            </w:pPr>
            <w:r w:rsidRPr="00376F4D">
              <w:rPr>
                <w:sz w:val="18"/>
              </w:rPr>
              <w:t>40 %</w:t>
            </w:r>
          </w:p>
        </w:tc>
      </w:tr>
      <w:tr w:rsidR="00376F4D" w:rsidRPr="00376F4D" w14:paraId="4484DA01" w14:textId="77777777" w:rsidTr="00760D6F">
        <w:trPr>
          <w:trHeight w:val="220"/>
        </w:trPr>
        <w:tc>
          <w:tcPr>
            <w:tcW w:w="3671" w:type="dxa"/>
            <w:vAlign w:val="center"/>
          </w:tcPr>
          <w:p w14:paraId="5DD5FDDF" w14:textId="77777777" w:rsidR="00376F4D" w:rsidRPr="00376F4D" w:rsidRDefault="00376F4D" w:rsidP="000171EB">
            <w:pPr>
              <w:adjustRightInd w:val="0"/>
              <w:rPr>
                <w:b/>
                <w:color w:val="002060"/>
                <w:sz w:val="18"/>
              </w:rPr>
            </w:pPr>
            <w:r w:rsidRPr="00376F4D">
              <w:rPr>
                <w:b/>
                <w:color w:val="002060"/>
                <w:sz w:val="18"/>
              </w:rPr>
              <w:t>Nouvelle-Calédonie</w:t>
            </w:r>
          </w:p>
        </w:tc>
        <w:tc>
          <w:tcPr>
            <w:tcW w:w="3685" w:type="dxa"/>
            <w:vAlign w:val="center"/>
          </w:tcPr>
          <w:p w14:paraId="75792B73" w14:textId="77777777" w:rsidR="00376F4D" w:rsidRPr="00376F4D" w:rsidRDefault="00376F4D" w:rsidP="000171EB">
            <w:pPr>
              <w:adjustRightInd w:val="0"/>
              <w:jc w:val="center"/>
              <w:rPr>
                <w:sz w:val="18"/>
              </w:rPr>
            </w:pPr>
            <w:r w:rsidRPr="00376F4D">
              <w:rPr>
                <w:sz w:val="18"/>
              </w:rPr>
              <w:t>73 % ou 94 % selon les communes</w:t>
            </w:r>
          </w:p>
        </w:tc>
      </w:tr>
    </w:tbl>
    <w:p w14:paraId="37AC42B0" w14:textId="77777777" w:rsidR="00376F4D" w:rsidRDefault="00376F4D" w:rsidP="00B55B58">
      <w:pPr>
        <w:pStyle w:val="Corpsdetexte"/>
        <w:rPr>
          <w:szCs w:val="20"/>
        </w:rPr>
      </w:pPr>
    </w:p>
    <w:p w14:paraId="66872A1C" w14:textId="77777777" w:rsidR="00376F4D" w:rsidRDefault="00376F4D" w:rsidP="00B55B58">
      <w:pPr>
        <w:pStyle w:val="Corpsdetexte"/>
        <w:rPr>
          <w:szCs w:val="20"/>
        </w:rPr>
      </w:pPr>
    </w:p>
    <w:p w14:paraId="6A675BA5" w14:textId="77777777" w:rsidR="00376F4D" w:rsidRDefault="00376F4D" w:rsidP="00B55B58">
      <w:pPr>
        <w:pStyle w:val="Corpsdetexte"/>
        <w:rPr>
          <w:szCs w:val="20"/>
        </w:rPr>
      </w:pPr>
    </w:p>
    <w:p w14:paraId="1A33C33A" w14:textId="77777777" w:rsidR="00376F4D" w:rsidRDefault="00376F4D" w:rsidP="00B55B58">
      <w:pPr>
        <w:pStyle w:val="Corpsdetexte"/>
        <w:rPr>
          <w:szCs w:val="20"/>
        </w:rPr>
      </w:pPr>
    </w:p>
    <w:p w14:paraId="4ED54C54" w14:textId="77777777" w:rsidR="00376F4D" w:rsidRDefault="00376F4D" w:rsidP="00B55B58">
      <w:pPr>
        <w:pStyle w:val="Corpsdetexte"/>
        <w:rPr>
          <w:szCs w:val="20"/>
        </w:rPr>
      </w:pPr>
    </w:p>
    <w:p w14:paraId="67DE1E8F" w14:textId="77777777" w:rsidR="00376F4D" w:rsidRDefault="00376F4D" w:rsidP="00B55B58">
      <w:pPr>
        <w:pStyle w:val="Corpsdetexte"/>
        <w:rPr>
          <w:szCs w:val="20"/>
        </w:rPr>
      </w:pPr>
    </w:p>
    <w:p w14:paraId="4F47514E" w14:textId="77777777" w:rsidR="00376F4D" w:rsidRDefault="00376F4D" w:rsidP="00B55B58">
      <w:pPr>
        <w:pStyle w:val="Corpsdetexte"/>
        <w:rPr>
          <w:szCs w:val="20"/>
        </w:rPr>
      </w:pPr>
    </w:p>
    <w:p w14:paraId="7E06F2C0" w14:textId="77777777" w:rsidR="00376F4D" w:rsidRDefault="00376F4D" w:rsidP="00B55B58">
      <w:pPr>
        <w:pStyle w:val="Corpsdetexte"/>
        <w:rPr>
          <w:szCs w:val="20"/>
        </w:rPr>
      </w:pPr>
    </w:p>
    <w:p w14:paraId="6B9BB2A6" w14:textId="77777777" w:rsidR="00376F4D" w:rsidRDefault="00376F4D" w:rsidP="00B55B58">
      <w:pPr>
        <w:pStyle w:val="Corpsdetexte"/>
        <w:rPr>
          <w:szCs w:val="20"/>
        </w:rPr>
      </w:pPr>
    </w:p>
    <w:p w14:paraId="4F2170BB" w14:textId="77777777" w:rsidR="00376F4D" w:rsidRDefault="00376F4D" w:rsidP="00B55B58">
      <w:pPr>
        <w:pStyle w:val="Corpsdetexte"/>
        <w:rPr>
          <w:szCs w:val="20"/>
        </w:rPr>
      </w:pPr>
    </w:p>
    <w:p w14:paraId="50EE9B76" w14:textId="77777777" w:rsidR="00376F4D" w:rsidRDefault="00376F4D" w:rsidP="00B55B58">
      <w:pPr>
        <w:pStyle w:val="Corpsdetexte"/>
        <w:rPr>
          <w:szCs w:val="20"/>
        </w:rPr>
      </w:pPr>
    </w:p>
    <w:p w14:paraId="6CCEDC6D" w14:textId="77777777" w:rsidR="00B94984" w:rsidRPr="00033D8D" w:rsidRDefault="00B94984" w:rsidP="00B55B58">
      <w:pPr>
        <w:pStyle w:val="Corpsdetexte"/>
        <w:rPr>
          <w:szCs w:val="20"/>
        </w:rPr>
      </w:pPr>
    </w:p>
    <w:sectPr w:rsidR="00B94984" w:rsidRPr="00033D8D" w:rsidSect="00FC6D09">
      <w:headerReference w:type="default" r:id="rId12"/>
      <w:footerReference w:type="default" r:id="rId13"/>
      <w:type w:val="continuous"/>
      <w:pgSz w:w="11910" w:h="16840"/>
      <w:pgMar w:top="964" w:right="964" w:bottom="568"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AEF9" w14:textId="77777777" w:rsidR="009678D7" w:rsidRDefault="009678D7" w:rsidP="0079276E">
      <w:r>
        <w:separator/>
      </w:r>
    </w:p>
  </w:endnote>
  <w:endnote w:type="continuationSeparator" w:id="0">
    <w:p w14:paraId="643A7BEE" w14:textId="77777777" w:rsidR="009678D7" w:rsidRDefault="009678D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5744C56E" w14:textId="77777777" w:rsidR="009678D7" w:rsidRDefault="009678D7" w:rsidP="00A548A5">
        <w:pPr>
          <w:framePr w:wrap="none" w:vAnchor="text" w:hAnchor="margin" w:xAlign="center" w:y="125"/>
          <w:tabs>
            <w:tab w:val="center" w:pos="4550"/>
            <w:tab w:val="left" w:pos="5818"/>
          </w:tabs>
          <w:ind w:right="260"/>
          <w:jc w:val="right"/>
          <w:rPr>
            <w:color w:val="002060"/>
            <w:sz w:val="18"/>
            <w:szCs w:val="24"/>
          </w:rPr>
        </w:pPr>
        <w:r w:rsidRPr="0095460C">
          <w:rPr>
            <w:color w:val="002060"/>
            <w:sz w:val="18"/>
            <w:szCs w:val="24"/>
          </w:rPr>
          <w:fldChar w:fldCharType="begin"/>
        </w:r>
        <w:r w:rsidRPr="0095460C">
          <w:rPr>
            <w:color w:val="002060"/>
            <w:sz w:val="18"/>
            <w:szCs w:val="24"/>
          </w:rPr>
          <w:instrText>PAGE   \* MERGEFORMAT</w:instrText>
        </w:r>
        <w:r w:rsidRPr="0095460C">
          <w:rPr>
            <w:color w:val="002060"/>
            <w:sz w:val="18"/>
            <w:szCs w:val="24"/>
          </w:rPr>
          <w:fldChar w:fldCharType="separate"/>
        </w:r>
        <w:r w:rsidR="004507A3">
          <w:rPr>
            <w:noProof/>
            <w:color w:val="002060"/>
            <w:sz w:val="18"/>
            <w:szCs w:val="24"/>
          </w:rPr>
          <w:t>4</w:t>
        </w:r>
        <w:r w:rsidRPr="0095460C">
          <w:rPr>
            <w:color w:val="002060"/>
            <w:sz w:val="18"/>
            <w:szCs w:val="24"/>
          </w:rPr>
          <w:fldChar w:fldCharType="end"/>
        </w:r>
        <w:r w:rsidRPr="0095460C">
          <w:rPr>
            <w:color w:val="002060"/>
            <w:sz w:val="18"/>
            <w:szCs w:val="24"/>
          </w:rPr>
          <w:t xml:space="preserve"> | </w:t>
        </w:r>
        <w:r w:rsidRPr="0095460C">
          <w:rPr>
            <w:color w:val="002060"/>
            <w:sz w:val="18"/>
            <w:szCs w:val="24"/>
          </w:rPr>
          <w:fldChar w:fldCharType="begin"/>
        </w:r>
        <w:r w:rsidRPr="0095460C">
          <w:rPr>
            <w:color w:val="002060"/>
            <w:sz w:val="18"/>
            <w:szCs w:val="24"/>
          </w:rPr>
          <w:instrText>NUMPAGES  \* Arabic  \* MERGEFORMAT</w:instrText>
        </w:r>
        <w:r w:rsidRPr="0095460C">
          <w:rPr>
            <w:color w:val="002060"/>
            <w:sz w:val="18"/>
            <w:szCs w:val="24"/>
          </w:rPr>
          <w:fldChar w:fldCharType="separate"/>
        </w:r>
        <w:r w:rsidR="004507A3">
          <w:rPr>
            <w:noProof/>
            <w:color w:val="002060"/>
            <w:sz w:val="18"/>
            <w:szCs w:val="24"/>
          </w:rPr>
          <w:t>4</w:t>
        </w:r>
        <w:r w:rsidRPr="0095460C">
          <w:rPr>
            <w:color w:val="002060"/>
            <w:sz w:val="18"/>
            <w:szCs w:val="24"/>
          </w:rPr>
          <w:fldChar w:fldCharType="end"/>
        </w:r>
      </w:p>
      <w:p w14:paraId="0456FCAF" w14:textId="77777777" w:rsidR="009678D7" w:rsidRPr="00936E45" w:rsidRDefault="00F10A63" w:rsidP="002C53DF">
        <w:pPr>
          <w:pStyle w:val="Pieddepage"/>
          <w:framePr w:wrap="none" w:vAnchor="text" w:hAnchor="margin" w:xAlign="center" w:y="125"/>
          <w:rPr>
            <w:rStyle w:val="Numrodepage"/>
            <w:sz w:val="14"/>
            <w:szCs w:val="14"/>
          </w:rPr>
        </w:pPr>
      </w:p>
    </w:sdtContent>
  </w:sdt>
  <w:p w14:paraId="18287DD9" w14:textId="77777777" w:rsidR="009678D7" w:rsidRPr="003D6149" w:rsidRDefault="009678D7" w:rsidP="00847039">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8B51" w14:textId="77777777" w:rsidR="009678D7" w:rsidRDefault="009678D7" w:rsidP="0079276E">
      <w:r>
        <w:separator/>
      </w:r>
    </w:p>
  </w:footnote>
  <w:footnote w:type="continuationSeparator" w:id="0">
    <w:p w14:paraId="16DF1EEE" w14:textId="77777777" w:rsidR="009678D7" w:rsidRDefault="009678D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491" w14:textId="77777777" w:rsidR="009678D7" w:rsidRPr="003240AC" w:rsidRDefault="009678D7" w:rsidP="00AD5D3A">
    <w:pPr>
      <w:pStyle w:val="En-tte"/>
      <w:tabs>
        <w:tab w:val="clear" w:pos="4513"/>
      </w:tabs>
      <w:ind w:right="201"/>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569B"/>
    <w:multiLevelType w:val="hybridMultilevel"/>
    <w:tmpl w:val="7A80DBCC"/>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 w15:restartNumberingAfterBreak="0">
    <w:nsid w:val="0E3D61C6"/>
    <w:multiLevelType w:val="hybridMultilevel"/>
    <w:tmpl w:val="8ED62FE4"/>
    <w:lvl w:ilvl="0" w:tplc="AAAC0606">
      <w:start w:val="1"/>
      <w:numFmt w:val="upperLetter"/>
      <w:lvlText w:val="%1-"/>
      <w:lvlJc w:val="left"/>
      <w:pPr>
        <w:ind w:left="2062"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2" w15:restartNumberingAfterBreak="0">
    <w:nsid w:val="16753AA7"/>
    <w:multiLevelType w:val="hybridMultilevel"/>
    <w:tmpl w:val="EDFC9BBE"/>
    <w:lvl w:ilvl="0" w:tplc="39C6C4BE">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39C6C4BE">
      <w:start w:val="1"/>
      <w:numFmt w:val="bullet"/>
      <w:lvlText w:val="-"/>
      <w:lvlJc w:val="left"/>
      <w:pPr>
        <w:ind w:left="1800" w:hanging="360"/>
      </w:pPr>
      <w:rPr>
        <w:rFonts w:ascii="Arial" w:hAnsi="Arial" w:hint="default"/>
        <w:b/>
        <w:i w:val="0"/>
        <w:color w:val="0040C0"/>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FF6B28"/>
    <w:multiLevelType w:val="hybridMultilevel"/>
    <w:tmpl w:val="C884ED6A"/>
    <w:lvl w:ilvl="0" w:tplc="7AB046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311B2"/>
    <w:multiLevelType w:val="hybridMultilevel"/>
    <w:tmpl w:val="1C204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21990"/>
    <w:multiLevelType w:val="hybridMultilevel"/>
    <w:tmpl w:val="E9DAEBC0"/>
    <w:lvl w:ilvl="0" w:tplc="1AFEC818">
      <w:start w:val="1"/>
      <w:numFmt w:val="decimal"/>
      <w:lvlText w:val="%1."/>
      <w:lvlJc w:val="left"/>
      <w:pPr>
        <w:ind w:left="343" w:hanging="360"/>
      </w:pPr>
      <w:rPr>
        <w:rFonts w:hint="default"/>
      </w:rPr>
    </w:lvl>
    <w:lvl w:ilvl="1" w:tplc="040C0019">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abstractNum w:abstractNumId="7" w15:restartNumberingAfterBreak="0">
    <w:nsid w:val="2C380BBE"/>
    <w:multiLevelType w:val="hybridMultilevel"/>
    <w:tmpl w:val="6C3CB2B2"/>
    <w:lvl w:ilvl="0" w:tplc="39C6C4BE">
      <w:start w:val="1"/>
      <w:numFmt w:val="bullet"/>
      <w:lvlText w:val="-"/>
      <w:lvlJc w:val="left"/>
      <w:pPr>
        <w:ind w:left="1056" w:hanging="360"/>
      </w:pPr>
      <w:rPr>
        <w:rFonts w:ascii="Arial" w:hAnsi="Arial" w:hint="default"/>
        <w:b/>
        <w:i w:val="0"/>
        <w:color w:val="0040C0"/>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8" w15:restartNumberingAfterBreak="0">
    <w:nsid w:val="2F131E71"/>
    <w:multiLevelType w:val="hybridMultilevel"/>
    <w:tmpl w:val="43AA44F6"/>
    <w:lvl w:ilvl="0" w:tplc="EBC20834">
      <w:start w:val="1"/>
      <w:numFmt w:val="bullet"/>
      <w:lvlText w:val=""/>
      <w:lvlJc w:val="left"/>
      <w:pPr>
        <w:ind w:left="720" w:hanging="360"/>
      </w:pPr>
      <w:rPr>
        <w:rFonts w:ascii="Symbol" w:hAnsi="Symbol" w:hint="default"/>
        <w:b/>
        <w:i w:val="0"/>
        <w:color w:val="0325B5"/>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25573"/>
    <w:multiLevelType w:val="hybridMultilevel"/>
    <w:tmpl w:val="E960BEBE"/>
    <w:lvl w:ilvl="0" w:tplc="39C6C4BE">
      <w:start w:val="1"/>
      <w:numFmt w:val="bullet"/>
      <w:lvlText w:val="-"/>
      <w:lvlJc w:val="left"/>
      <w:pPr>
        <w:ind w:left="360" w:hanging="360"/>
      </w:pPr>
      <w:rPr>
        <w:rFonts w:ascii="Arial" w:hAnsi="Arial" w:hint="default"/>
      </w:rPr>
    </w:lvl>
    <w:lvl w:ilvl="1" w:tplc="39C6C4BE">
      <w:start w:val="1"/>
      <w:numFmt w:val="bullet"/>
      <w:lvlText w:val="-"/>
      <w:lvlJc w:val="left"/>
      <w:pPr>
        <w:ind w:left="1080" w:hanging="360"/>
      </w:pPr>
      <w:rPr>
        <w:rFonts w:ascii="Arial" w:hAnsi="Arial" w:hint="default"/>
        <w:b/>
        <w:i w:val="0"/>
        <w:color w:val="0040C0"/>
      </w:rPr>
    </w:lvl>
    <w:lvl w:ilvl="2" w:tplc="39C6C4BE">
      <w:start w:val="1"/>
      <w:numFmt w:val="bullet"/>
      <w:lvlText w:val="-"/>
      <w:lvlJc w:val="left"/>
      <w:pPr>
        <w:ind w:left="1800" w:hanging="360"/>
      </w:pPr>
      <w:rPr>
        <w:rFonts w:ascii="Arial" w:hAnsi="Arial" w:hint="default"/>
        <w:b/>
        <w:i w:val="0"/>
        <w:color w:val="0040C0"/>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1" w15:restartNumberingAfterBreak="0">
    <w:nsid w:val="3ECC5D06"/>
    <w:multiLevelType w:val="multilevel"/>
    <w:tmpl w:val="F4309CEA"/>
    <w:lvl w:ilvl="0">
      <w:start w:val="1"/>
      <w:numFmt w:val="decimal"/>
      <w:lvlText w:val="%1."/>
      <w:lvlJc w:val="left"/>
      <w:pPr>
        <w:tabs>
          <w:tab w:val="num" w:pos="396"/>
        </w:tabs>
        <w:ind w:left="396" w:hanging="396"/>
      </w:pPr>
      <w:rPr>
        <w:rFonts w:hint="default"/>
      </w:rPr>
    </w:lvl>
    <w:lvl w:ilvl="1">
      <w:start w:val="1"/>
      <w:numFmt w:val="decimal"/>
      <w:lvlText w:val="%2."/>
      <w:lvlJc w:val="left"/>
      <w:pPr>
        <w:tabs>
          <w:tab w:val="num" w:pos="396"/>
        </w:tabs>
        <w:ind w:left="396" w:hanging="396"/>
      </w:pPr>
      <w:rPr>
        <w:rFonts w:hint="default"/>
        <w:b/>
        <w:sz w:val="20"/>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592696"/>
    <w:multiLevelType w:val="hybridMultilevel"/>
    <w:tmpl w:val="0C0EC44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5F480CE0"/>
    <w:multiLevelType w:val="hybridMultilevel"/>
    <w:tmpl w:val="BB88EC94"/>
    <w:lvl w:ilvl="0" w:tplc="C5B4FF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9A59C2"/>
    <w:multiLevelType w:val="hybridMultilevel"/>
    <w:tmpl w:val="6FB4E394"/>
    <w:lvl w:ilvl="0" w:tplc="C2DC2E92">
      <w:start w:val="1"/>
      <w:numFmt w:val="bullet"/>
      <w:lvlText w:val=""/>
      <w:lvlJc w:val="left"/>
      <w:pPr>
        <w:ind w:left="786" w:hanging="360"/>
      </w:pPr>
      <w:rPr>
        <w:rFonts w:ascii="Wingdings" w:hAnsi="Wingdings" w:hint="default"/>
        <w:b/>
        <w:i w:val="0"/>
        <w:color w:val="004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653603BE"/>
    <w:multiLevelType w:val="hybridMultilevel"/>
    <w:tmpl w:val="B98A6F1C"/>
    <w:lvl w:ilvl="0" w:tplc="39C6C4BE">
      <w:start w:val="1"/>
      <w:numFmt w:val="bullet"/>
      <w:lvlText w:val="-"/>
      <w:lvlJc w:val="left"/>
      <w:pPr>
        <w:ind w:left="1056" w:hanging="360"/>
      </w:pPr>
      <w:rPr>
        <w:rFonts w:ascii="Arial" w:hAnsi="Arial"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num w:numId="1">
    <w:abstractNumId w:val="10"/>
  </w:num>
  <w:num w:numId="2">
    <w:abstractNumId w:val="12"/>
  </w:num>
  <w:num w:numId="3">
    <w:abstractNumId w:val="13"/>
  </w:num>
  <w:num w:numId="4">
    <w:abstractNumId w:val="5"/>
  </w:num>
  <w:num w:numId="5">
    <w:abstractNumId w:val="15"/>
  </w:num>
  <w:num w:numId="6">
    <w:abstractNumId w:val="3"/>
  </w:num>
  <w:num w:numId="7">
    <w:abstractNumId w:val="11"/>
  </w:num>
  <w:num w:numId="8">
    <w:abstractNumId w:val="16"/>
  </w:num>
  <w:num w:numId="9">
    <w:abstractNumId w:val="6"/>
  </w:num>
  <w:num w:numId="10">
    <w:abstractNumId w:val="2"/>
  </w:num>
  <w:num w:numId="11">
    <w:abstractNumId w:val="17"/>
  </w:num>
  <w:num w:numId="12">
    <w:abstractNumId w:val="4"/>
  </w:num>
  <w:num w:numId="13">
    <w:abstractNumId w:val="0"/>
  </w:num>
  <w:num w:numId="14">
    <w:abstractNumId w:val="8"/>
  </w:num>
  <w:num w:numId="15">
    <w:abstractNumId w:val="14"/>
  </w:num>
  <w:num w:numId="16">
    <w:abstractNumId w:val="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0613B"/>
    <w:rsid w:val="00015220"/>
    <w:rsid w:val="000171EB"/>
    <w:rsid w:val="000201F9"/>
    <w:rsid w:val="00025E49"/>
    <w:rsid w:val="00033D8D"/>
    <w:rsid w:val="00045DCD"/>
    <w:rsid w:val="00046EC0"/>
    <w:rsid w:val="00076466"/>
    <w:rsid w:val="0008134F"/>
    <w:rsid w:val="00081F5E"/>
    <w:rsid w:val="00087696"/>
    <w:rsid w:val="00090110"/>
    <w:rsid w:val="000924D0"/>
    <w:rsid w:val="0009713D"/>
    <w:rsid w:val="000A16E7"/>
    <w:rsid w:val="000B5651"/>
    <w:rsid w:val="000F5476"/>
    <w:rsid w:val="00100EBD"/>
    <w:rsid w:val="0011479C"/>
    <w:rsid w:val="001200FD"/>
    <w:rsid w:val="001351DD"/>
    <w:rsid w:val="001648E4"/>
    <w:rsid w:val="00173CDC"/>
    <w:rsid w:val="001944EE"/>
    <w:rsid w:val="001C79E5"/>
    <w:rsid w:val="001E5A39"/>
    <w:rsid w:val="001F209A"/>
    <w:rsid w:val="0020210F"/>
    <w:rsid w:val="00202B2A"/>
    <w:rsid w:val="002321F6"/>
    <w:rsid w:val="002540E6"/>
    <w:rsid w:val="0025456F"/>
    <w:rsid w:val="002607FD"/>
    <w:rsid w:val="002617EB"/>
    <w:rsid w:val="002672DE"/>
    <w:rsid w:val="00275B2B"/>
    <w:rsid w:val="00276769"/>
    <w:rsid w:val="00290741"/>
    <w:rsid w:val="00290CE8"/>
    <w:rsid w:val="00293194"/>
    <w:rsid w:val="002C53DF"/>
    <w:rsid w:val="002E0DF9"/>
    <w:rsid w:val="002E2555"/>
    <w:rsid w:val="003240AC"/>
    <w:rsid w:val="00336EA0"/>
    <w:rsid w:val="00337B12"/>
    <w:rsid w:val="00345773"/>
    <w:rsid w:val="00350587"/>
    <w:rsid w:val="00363ECF"/>
    <w:rsid w:val="003646B6"/>
    <w:rsid w:val="00375922"/>
    <w:rsid w:val="00376F4D"/>
    <w:rsid w:val="00382887"/>
    <w:rsid w:val="003961F5"/>
    <w:rsid w:val="003A7BC3"/>
    <w:rsid w:val="003D1DE1"/>
    <w:rsid w:val="003D601A"/>
    <w:rsid w:val="003D6149"/>
    <w:rsid w:val="003F2312"/>
    <w:rsid w:val="00406103"/>
    <w:rsid w:val="00407FD2"/>
    <w:rsid w:val="0042101F"/>
    <w:rsid w:val="00426C26"/>
    <w:rsid w:val="004326CB"/>
    <w:rsid w:val="004507A3"/>
    <w:rsid w:val="004529DA"/>
    <w:rsid w:val="00452D76"/>
    <w:rsid w:val="004608CD"/>
    <w:rsid w:val="00477348"/>
    <w:rsid w:val="00482B02"/>
    <w:rsid w:val="004936AF"/>
    <w:rsid w:val="004A3240"/>
    <w:rsid w:val="004C068A"/>
    <w:rsid w:val="004C53DD"/>
    <w:rsid w:val="004C7346"/>
    <w:rsid w:val="004D0D46"/>
    <w:rsid w:val="004D1619"/>
    <w:rsid w:val="004E7415"/>
    <w:rsid w:val="004F1370"/>
    <w:rsid w:val="00517D05"/>
    <w:rsid w:val="00521BCD"/>
    <w:rsid w:val="00523299"/>
    <w:rsid w:val="00533FB0"/>
    <w:rsid w:val="00544729"/>
    <w:rsid w:val="00552B19"/>
    <w:rsid w:val="00570EB0"/>
    <w:rsid w:val="0057177D"/>
    <w:rsid w:val="005972E3"/>
    <w:rsid w:val="005A13C0"/>
    <w:rsid w:val="005B11B6"/>
    <w:rsid w:val="005B6F0D"/>
    <w:rsid w:val="005C36DC"/>
    <w:rsid w:val="005C3BCF"/>
    <w:rsid w:val="005C4846"/>
    <w:rsid w:val="005E2827"/>
    <w:rsid w:val="005E640E"/>
    <w:rsid w:val="005F0B0F"/>
    <w:rsid w:val="005F2E98"/>
    <w:rsid w:val="005F469D"/>
    <w:rsid w:val="006010B7"/>
    <w:rsid w:val="00601526"/>
    <w:rsid w:val="00604392"/>
    <w:rsid w:val="00625D93"/>
    <w:rsid w:val="00641E01"/>
    <w:rsid w:val="00651077"/>
    <w:rsid w:val="006725FE"/>
    <w:rsid w:val="006733F6"/>
    <w:rsid w:val="006859B0"/>
    <w:rsid w:val="00691E2C"/>
    <w:rsid w:val="006A4ADA"/>
    <w:rsid w:val="006B15CF"/>
    <w:rsid w:val="006D502A"/>
    <w:rsid w:val="006F765C"/>
    <w:rsid w:val="007247DE"/>
    <w:rsid w:val="00726014"/>
    <w:rsid w:val="00732B2C"/>
    <w:rsid w:val="007453DF"/>
    <w:rsid w:val="00760D6F"/>
    <w:rsid w:val="007721F0"/>
    <w:rsid w:val="0077523A"/>
    <w:rsid w:val="00782455"/>
    <w:rsid w:val="0079276E"/>
    <w:rsid w:val="007A476A"/>
    <w:rsid w:val="007B0D9A"/>
    <w:rsid w:val="007B4F8D"/>
    <w:rsid w:val="007B6F11"/>
    <w:rsid w:val="007C6922"/>
    <w:rsid w:val="007E2D34"/>
    <w:rsid w:val="007F1724"/>
    <w:rsid w:val="007F6369"/>
    <w:rsid w:val="007F6CDD"/>
    <w:rsid w:val="00805F48"/>
    <w:rsid w:val="00807CCD"/>
    <w:rsid w:val="0081060F"/>
    <w:rsid w:val="00822782"/>
    <w:rsid w:val="00826391"/>
    <w:rsid w:val="00841E6B"/>
    <w:rsid w:val="00847039"/>
    <w:rsid w:val="00851458"/>
    <w:rsid w:val="0085682C"/>
    <w:rsid w:val="00872D70"/>
    <w:rsid w:val="00880453"/>
    <w:rsid w:val="008A73FE"/>
    <w:rsid w:val="008B2F3E"/>
    <w:rsid w:val="008C0BBC"/>
    <w:rsid w:val="008D471A"/>
    <w:rsid w:val="008F5120"/>
    <w:rsid w:val="00901DF9"/>
    <w:rsid w:val="00912A01"/>
    <w:rsid w:val="00930B38"/>
    <w:rsid w:val="00936712"/>
    <w:rsid w:val="00936E45"/>
    <w:rsid w:val="00941377"/>
    <w:rsid w:val="009508B1"/>
    <w:rsid w:val="009678D7"/>
    <w:rsid w:val="00972A1C"/>
    <w:rsid w:val="00992DBA"/>
    <w:rsid w:val="009C0C96"/>
    <w:rsid w:val="009F01A6"/>
    <w:rsid w:val="009F208C"/>
    <w:rsid w:val="009F2E63"/>
    <w:rsid w:val="009F56A7"/>
    <w:rsid w:val="00A00007"/>
    <w:rsid w:val="00A06FD9"/>
    <w:rsid w:val="00A10A83"/>
    <w:rsid w:val="00A1143A"/>
    <w:rsid w:val="00A124A0"/>
    <w:rsid w:val="00A1486F"/>
    <w:rsid w:val="00A24C02"/>
    <w:rsid w:val="00A30EA6"/>
    <w:rsid w:val="00A31084"/>
    <w:rsid w:val="00A440C0"/>
    <w:rsid w:val="00A53F6B"/>
    <w:rsid w:val="00A548A5"/>
    <w:rsid w:val="00A61B9F"/>
    <w:rsid w:val="00A84CCB"/>
    <w:rsid w:val="00AB64B9"/>
    <w:rsid w:val="00AD5BDD"/>
    <w:rsid w:val="00AD5D3A"/>
    <w:rsid w:val="00AD5EBE"/>
    <w:rsid w:val="00AE48FE"/>
    <w:rsid w:val="00AE7ADC"/>
    <w:rsid w:val="00AF1D5B"/>
    <w:rsid w:val="00B02E79"/>
    <w:rsid w:val="00B37451"/>
    <w:rsid w:val="00B46AF7"/>
    <w:rsid w:val="00B55B58"/>
    <w:rsid w:val="00B94984"/>
    <w:rsid w:val="00B97C4B"/>
    <w:rsid w:val="00BA5BCA"/>
    <w:rsid w:val="00BD79AF"/>
    <w:rsid w:val="00BE1E57"/>
    <w:rsid w:val="00BE6B01"/>
    <w:rsid w:val="00C004A8"/>
    <w:rsid w:val="00C06916"/>
    <w:rsid w:val="00C1413A"/>
    <w:rsid w:val="00C220A3"/>
    <w:rsid w:val="00C41844"/>
    <w:rsid w:val="00C57944"/>
    <w:rsid w:val="00C66322"/>
    <w:rsid w:val="00C67312"/>
    <w:rsid w:val="00C7451D"/>
    <w:rsid w:val="00C8504D"/>
    <w:rsid w:val="00C85E23"/>
    <w:rsid w:val="00C877A3"/>
    <w:rsid w:val="00CA0A62"/>
    <w:rsid w:val="00CB0E91"/>
    <w:rsid w:val="00CB2C77"/>
    <w:rsid w:val="00CC407E"/>
    <w:rsid w:val="00CD5E65"/>
    <w:rsid w:val="00CD7CF2"/>
    <w:rsid w:val="00CE16E3"/>
    <w:rsid w:val="00CE1BE6"/>
    <w:rsid w:val="00D10C52"/>
    <w:rsid w:val="00D15507"/>
    <w:rsid w:val="00D208CE"/>
    <w:rsid w:val="00D21668"/>
    <w:rsid w:val="00D73EF3"/>
    <w:rsid w:val="00D86CB8"/>
    <w:rsid w:val="00D92986"/>
    <w:rsid w:val="00D96935"/>
    <w:rsid w:val="00DA2090"/>
    <w:rsid w:val="00DC5BB5"/>
    <w:rsid w:val="00DC6658"/>
    <w:rsid w:val="00DD50D6"/>
    <w:rsid w:val="00E05336"/>
    <w:rsid w:val="00E3470F"/>
    <w:rsid w:val="00E42A18"/>
    <w:rsid w:val="00E53CD2"/>
    <w:rsid w:val="00E669F0"/>
    <w:rsid w:val="00E7126D"/>
    <w:rsid w:val="00E92E93"/>
    <w:rsid w:val="00ED71C8"/>
    <w:rsid w:val="00EE6173"/>
    <w:rsid w:val="00EF5CF0"/>
    <w:rsid w:val="00F03E90"/>
    <w:rsid w:val="00F043B7"/>
    <w:rsid w:val="00F10A63"/>
    <w:rsid w:val="00F17012"/>
    <w:rsid w:val="00F22CF7"/>
    <w:rsid w:val="00F2464C"/>
    <w:rsid w:val="00F246FE"/>
    <w:rsid w:val="00F25DA3"/>
    <w:rsid w:val="00F261BB"/>
    <w:rsid w:val="00F453C5"/>
    <w:rsid w:val="00F542FC"/>
    <w:rsid w:val="00F73B87"/>
    <w:rsid w:val="00F7722A"/>
    <w:rsid w:val="00FA0EE6"/>
    <w:rsid w:val="00FB0C0A"/>
    <w:rsid w:val="00FB7A84"/>
    <w:rsid w:val="00FC1419"/>
    <w:rsid w:val="00FC6D09"/>
    <w:rsid w:val="00FE307B"/>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6934EE"/>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styleId="Sansinterligne">
    <w:name w:val="No Spacing"/>
    <w:uiPriority w:val="1"/>
    <w:qFormat/>
    <w:rsid w:val="00901DF9"/>
    <w:pPr>
      <w:widowControl/>
      <w:autoSpaceDE/>
      <w:autoSpaceDN/>
    </w:pPr>
    <w:rPr>
      <w:rFonts w:ascii="Calibri" w:eastAsia="Calibri" w:hAnsi="Calibri" w:cs="Times New Roman"/>
      <w:lang w:val="fr-FR"/>
    </w:rPr>
  </w:style>
  <w:style w:type="paragraph" w:customStyle="1" w:styleId="SIGN">
    <w:name w:val="SIGN"/>
    <w:basedOn w:val="Normal"/>
    <w:link w:val="SIGNCar"/>
    <w:rsid w:val="00901DF9"/>
    <w:pPr>
      <w:widowControl/>
      <w:autoSpaceDE/>
      <w:autoSpaceDN/>
      <w:ind w:left="3402"/>
    </w:pPr>
    <w:rPr>
      <w:rFonts w:eastAsia="Times New Roman"/>
      <w:sz w:val="20"/>
      <w:szCs w:val="20"/>
      <w:lang w:eastAsia="fr-FR"/>
    </w:rPr>
  </w:style>
  <w:style w:type="character" w:customStyle="1" w:styleId="SIGNCar">
    <w:name w:val="SIGN Car"/>
    <w:link w:val="SIGN"/>
    <w:rsid w:val="00033D8D"/>
    <w:rPr>
      <w:rFonts w:eastAsia="Times New Roman"/>
      <w:sz w:val="20"/>
      <w:szCs w:val="20"/>
      <w:lang w:val="fr-FR" w:eastAsia="fr-FR"/>
    </w:rPr>
  </w:style>
  <w:style w:type="paragraph" w:styleId="Textedebulles">
    <w:name w:val="Balloon Text"/>
    <w:basedOn w:val="Normal"/>
    <w:link w:val="TextedebullesCar"/>
    <w:uiPriority w:val="99"/>
    <w:semiHidden/>
    <w:unhideWhenUsed/>
    <w:rsid w:val="00D15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5507"/>
    <w:rPr>
      <w:rFonts w:ascii="Segoe UI" w:hAnsi="Segoe UI" w:cs="Segoe UI"/>
      <w:sz w:val="18"/>
      <w:szCs w:val="18"/>
    </w:rPr>
  </w:style>
  <w:style w:type="character" w:customStyle="1" w:styleId="prix">
    <w:name w:val="prix"/>
    <w:basedOn w:val="Policepardfaut"/>
    <w:rsid w:val="0074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0086">
      <w:bodyDiv w:val="1"/>
      <w:marLeft w:val="0"/>
      <w:marRight w:val="0"/>
      <w:marTop w:val="0"/>
      <w:marBottom w:val="0"/>
      <w:divBdr>
        <w:top w:val="none" w:sz="0" w:space="0" w:color="auto"/>
        <w:left w:val="none" w:sz="0" w:space="0" w:color="auto"/>
        <w:bottom w:val="none" w:sz="0" w:space="0" w:color="auto"/>
        <w:right w:val="none" w:sz="0" w:space="0" w:color="auto"/>
      </w:divBdr>
    </w:div>
    <w:div w:id="543369196">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5044716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afil3@ac-besancon.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3EBF6-DFBB-476D-9612-B7FC371EBAD7}">
  <ds:schemaRefs>
    <ds:schemaRef ds:uri="http://purl.org/dc/elements/1.1/"/>
    <ds:schemaRef ds:uri="http://schemas.microsoft.com/office/2006/documentManagement/types"/>
    <ds:schemaRef ds:uri="http://www.w3.org/XML/1998/namespace"/>
    <ds:schemaRef ds:uri="2c7ddd52-0a06-43b1-a35c-dcb15ea2e3f4"/>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846137F-39FA-4F2D-BC04-2C55E97CBBF3}">
  <ds:schemaRefs>
    <ds:schemaRef ds:uri="http://schemas.openxmlformats.org/officeDocument/2006/bibliography"/>
  </ds:schemaRefs>
</ds:datastoreItem>
</file>

<file path=customXml/itemProps4.xml><?xml version="1.0" encoding="utf-8"?>
<ds:datastoreItem xmlns:ds="http://schemas.openxmlformats.org/officeDocument/2006/customXml" ds:itemID="{7527606F-E67A-45C6-8367-2F3D0E8F7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agro</cp:lastModifiedBy>
  <cp:revision>4</cp:revision>
  <cp:lastPrinted>2023-11-30T10:12:00Z</cp:lastPrinted>
  <dcterms:created xsi:type="dcterms:W3CDTF">2023-11-30T10:13:00Z</dcterms:created>
  <dcterms:modified xsi:type="dcterms:W3CDTF">2023-11-30T16:15:00Z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