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8D" w:rsidRDefault="00B3184B" w:rsidP="000A6B38">
      <w:pPr>
        <w:pStyle w:val="Titre3"/>
        <w:spacing w:before="0" w:after="0" w:line="360" w:lineRule="auto"/>
        <w:jc w:val="center"/>
        <w:rPr>
          <w:rFonts w:asciiTheme="minorHAnsi" w:hAnsiTheme="minorHAnsi"/>
          <w:b/>
          <w:bCs/>
          <w:color w:val="000000" w:themeColor="text1"/>
          <w:sz w:val="24"/>
          <w:szCs w:val="24"/>
          <w:lang w:val="fr-FR"/>
        </w:rPr>
      </w:pPr>
      <w:bookmarkStart w:id="0" w:name="h.l4v2ts4k9hqa"/>
      <w:bookmarkEnd w:id="0"/>
      <w:r w:rsidRPr="003A5375">
        <w:rPr>
          <w:rFonts w:asciiTheme="minorHAnsi" w:hAnsiTheme="minorHAnsi"/>
          <w:b/>
          <w:bCs/>
          <w:color w:val="000000" w:themeColor="text1"/>
          <w:sz w:val="24"/>
          <w:szCs w:val="24"/>
          <w:lang w:val="fr-FR"/>
        </w:rPr>
        <w:t>Quelques incontournables pour construire une progression de cycle</w:t>
      </w:r>
      <w:r w:rsidR="006760E3">
        <w:rPr>
          <w:rFonts w:asciiTheme="minorHAnsi" w:hAnsiTheme="minorHAnsi"/>
          <w:b/>
          <w:bCs/>
          <w:color w:val="000000" w:themeColor="text1"/>
          <w:sz w:val="24"/>
          <w:szCs w:val="24"/>
          <w:lang w:val="fr-FR"/>
        </w:rPr>
        <w:t xml:space="preserve"> en mathématiques</w:t>
      </w:r>
    </w:p>
    <w:p w:rsidR="00982974" w:rsidRPr="003A5375" w:rsidRDefault="00982974" w:rsidP="000A6B38">
      <w:pPr>
        <w:pStyle w:val="Titre3"/>
        <w:spacing w:before="0" w:after="0" w:line="360" w:lineRule="auto"/>
        <w:jc w:val="center"/>
        <w:rPr>
          <w:rFonts w:asciiTheme="minorHAnsi" w:hAnsiTheme="minorHAnsi"/>
          <w:b/>
          <w:bCs/>
          <w:color w:val="000000" w:themeColor="text1"/>
          <w:sz w:val="24"/>
          <w:szCs w:val="24"/>
          <w:lang w:val="fr-FR"/>
        </w:rPr>
      </w:pPr>
    </w:p>
    <w:p w:rsidR="00D94A8D" w:rsidRPr="003A5375" w:rsidRDefault="000A6B38" w:rsidP="000A6B38">
      <w:pPr>
        <w:pStyle w:val="Titre3"/>
        <w:spacing w:before="0" w:after="0" w:line="360" w:lineRule="auto"/>
        <w:ind w:firstLine="700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 xml:space="preserve">- </w:t>
      </w:r>
      <w:r w:rsidR="00B3184B"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Bien repére</w:t>
      </w: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 xml:space="preserve">r les attendus de fin de cycle </w:t>
      </w:r>
    </w:p>
    <w:p w:rsidR="00D94A8D" w:rsidRPr="003A5375" w:rsidRDefault="003A5375" w:rsidP="000A6B38">
      <w:pPr>
        <w:pStyle w:val="Standard"/>
        <w:spacing w:line="360" w:lineRule="auto"/>
        <w:ind w:left="700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- A</w:t>
      </w:r>
      <w:r w:rsidR="00B3184B"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voir une idée précise des connaissances et compétences à construire pour chacun des attendus</w:t>
      </w:r>
    </w:p>
    <w:p w:rsidR="00D94A8D" w:rsidRPr="003A5375" w:rsidRDefault="003A5375" w:rsidP="000A6B38">
      <w:pPr>
        <w:pStyle w:val="Standard"/>
        <w:spacing w:line="360" w:lineRule="auto"/>
        <w:ind w:firstLine="700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- D</w:t>
      </w:r>
      <w:r w:rsidR="00B3184B"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éfinir les niveaux seuils</w:t>
      </w:r>
    </w:p>
    <w:p w:rsidR="00D94A8D" w:rsidRPr="003A5375" w:rsidRDefault="003A5375" w:rsidP="000A6B38">
      <w:pPr>
        <w:pStyle w:val="Standard"/>
        <w:spacing w:line="360" w:lineRule="auto"/>
        <w:ind w:firstLine="700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- F</w:t>
      </w:r>
      <w:r w:rsidR="00B3184B"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aire le lien avec les autres disciplines</w:t>
      </w:r>
    </w:p>
    <w:p w:rsidR="00D94A8D" w:rsidRPr="003A5375" w:rsidRDefault="00B3184B" w:rsidP="000A6B38">
      <w:pPr>
        <w:pStyle w:val="Standard"/>
        <w:spacing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- Les attendus de fin de cycle sont travaillés dès le début de cycle</w:t>
      </w:r>
    </w:p>
    <w:p w:rsidR="000A6B38" w:rsidRPr="003A5375" w:rsidRDefault="00B3184B" w:rsidP="000A6B38">
      <w:pPr>
        <w:pStyle w:val="Standard"/>
        <w:spacing w:line="360" w:lineRule="auto"/>
        <w:ind w:left="720"/>
        <w:jc w:val="both"/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-Commencer le plus tôt possible les notions en les faisant vivre le plus longtemps possible.</w:t>
      </w:r>
    </w:p>
    <w:p w:rsidR="00D94A8D" w:rsidRPr="003A5375" w:rsidRDefault="000A6B38" w:rsidP="000A6B38">
      <w:pPr>
        <w:pStyle w:val="Standard"/>
        <w:spacing w:line="360" w:lineRule="auto"/>
        <w:ind w:left="720"/>
        <w:jc w:val="both"/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 xml:space="preserve">- </w:t>
      </w:r>
      <w:r w:rsidR="00B3184B"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Travailler ces notions dans le temps</w:t>
      </w:r>
    </w:p>
    <w:p w:rsidR="000A6B38" w:rsidRPr="003A5375" w:rsidRDefault="000A6B38" w:rsidP="000A6B38">
      <w:pPr>
        <w:pStyle w:val="Standard"/>
        <w:spacing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- Travailler à partir de situations de référence « tâches riches » (tâches complexes)</w:t>
      </w:r>
    </w:p>
    <w:p w:rsidR="000A6B38" w:rsidRPr="003A5375" w:rsidRDefault="000A6B38" w:rsidP="000A6B38">
      <w:pPr>
        <w:pStyle w:val="Standard"/>
        <w:spacing w:line="360" w:lineRule="auto"/>
        <w:ind w:left="720"/>
        <w:jc w:val="both"/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</w:pPr>
    </w:p>
    <w:p w:rsidR="00D94A8D" w:rsidRPr="003A5375" w:rsidRDefault="00B3184B" w:rsidP="000A6B3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Prévoir plusieurs entrées vers l’acquisition d’une compétence, de façon à ce que chaque élève puisse trouver celle qui lui convient le mieux et ainsi favoriser l’activité de l’élève.</w:t>
      </w:r>
    </w:p>
    <w:p w:rsidR="00D94A8D" w:rsidRPr="005E1FEC" w:rsidRDefault="00B3184B" w:rsidP="005E1FEC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 xml:space="preserve">Choisir des activités qui créent le besoin, </w:t>
      </w:r>
      <w:r w:rsidR="000A6B38"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 xml:space="preserve"> qui </w:t>
      </w: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 xml:space="preserve">donnent du sens. </w:t>
      </w:r>
      <w:r w:rsidR="005E1FEC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(p</w:t>
      </w:r>
      <w:r w:rsidR="005E1FEC"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rendre en compte la zone proximale de développement cependant.</w:t>
      </w:r>
      <w:r w:rsidR="005E1FEC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 xml:space="preserve">) </w:t>
      </w:r>
      <w:r w:rsidRPr="005E1FEC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La résolution de problème est centrale qu’il s’agisse de problèmes internes aux mathématiques ou concernant la vie courante et/ou d’autres disciplines. Elle permet de travailler les 6 composantes majeures de l’activité mathématiques : Chercher, Modéliser, Représenter, Raisonner, Calculer et Communiquer.</w:t>
      </w:r>
    </w:p>
    <w:p w:rsidR="00D94A8D" w:rsidRPr="003A5375" w:rsidRDefault="00B3184B" w:rsidP="000A6B3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Tenir compte des différences entre les élèves en analysant les besoins de chacun pour définir des niveaux d’entrée.</w:t>
      </w:r>
    </w:p>
    <w:p w:rsidR="00D94A8D" w:rsidRPr="003A5375" w:rsidRDefault="00B3184B" w:rsidP="000A6B3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Proposer différentes approches pour les apprentissages (supports, contextes variés)</w:t>
      </w:r>
    </w:p>
    <w:p w:rsidR="00D94A8D" w:rsidRPr="003A5375" w:rsidRDefault="00B3184B" w:rsidP="000A6B38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Essayer dans la mesure du possible et pour des thèmes qui s’y prêtent d’offrir à l’élève un “</w:t>
      </w:r>
      <w:r w:rsidR="000A6B38"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autocontrôle</w:t>
      </w: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” de l’acquisition d’une connaissance, d’un savoir-faire ou d’une compétence. (ce n’est pas l’enseignant qui invalide le résultat obtenu, mais l’élève lui-même, ou un pair, ou l’ordinateur…). Retour réflexif de l’élève sur sa démarche et son activité.</w:t>
      </w:r>
    </w:p>
    <w:p w:rsidR="003A5375" w:rsidRPr="003A5375" w:rsidRDefault="003A5375" w:rsidP="003A5375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Évaluer le temps consacré à chaque partie programmée ; ordonner et répartir les objectifs visés selon les périodes ; assurer un équilibre dans les activités.</w:t>
      </w:r>
    </w:p>
    <w:p w:rsidR="003A5375" w:rsidRPr="003A5375" w:rsidRDefault="003A5375" w:rsidP="003A5375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Garder une certaine souplesse en évaluant régulièrement pour réguler.</w:t>
      </w:r>
    </w:p>
    <w:p w:rsidR="00D94A8D" w:rsidRPr="003A5375" w:rsidRDefault="00D94A8D" w:rsidP="000A6B38">
      <w:pPr>
        <w:pStyle w:val="Standard"/>
        <w:spacing w:line="360" w:lineRule="auto"/>
        <w:jc w:val="both"/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</w:pPr>
    </w:p>
    <w:p w:rsidR="00D94A8D" w:rsidRPr="003A5375" w:rsidRDefault="00B3184B" w:rsidP="000A6B38">
      <w:pPr>
        <w:pStyle w:val="Standard"/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Il n’est pas nécessaire d’attendre qu’une notion soit complètement acquise pour aborder la suite. Un niveau de complexification supérieur peut permettre d’éclairer la notion en amont. (Exemple: les grands nombres entiers et la découverte des nombres décimaux au cycle 3).</w:t>
      </w:r>
    </w:p>
    <w:p w:rsidR="00D94A8D" w:rsidRPr="003A5375" w:rsidRDefault="00D94A8D" w:rsidP="000A6B38">
      <w:pPr>
        <w:pStyle w:val="Standard"/>
        <w:spacing w:line="360" w:lineRule="auto"/>
        <w:jc w:val="both"/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</w:pPr>
    </w:p>
    <w:p w:rsidR="00D94A8D" w:rsidRPr="003A5375" w:rsidRDefault="00B3184B" w:rsidP="000A6B38">
      <w:pPr>
        <w:pStyle w:val="Standard"/>
        <w:spacing w:line="360" w:lineRule="auto"/>
        <w:jc w:val="center"/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 xml:space="preserve">Document élaboré sur le modèle de celui produit par Sabine BOUVERET et Sandrine </w:t>
      </w:r>
      <w:r w:rsidR="000A6B38"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 xml:space="preserve">JOUVENOT </w:t>
      </w:r>
      <w:r w:rsidRPr="003A5375">
        <w:rPr>
          <w:rFonts w:asciiTheme="minorHAnsi" w:eastAsia="Calibri" w:hAnsiTheme="minorHAnsi" w:cs="Calibri"/>
          <w:color w:val="000000" w:themeColor="text1"/>
          <w:sz w:val="24"/>
          <w:szCs w:val="24"/>
          <w:lang w:val="fr-FR"/>
        </w:rPr>
        <w:t>pour le cycle 4.</w:t>
      </w:r>
    </w:p>
    <w:sectPr w:rsidR="00D94A8D" w:rsidRPr="003A5375" w:rsidSect="000A6B38">
      <w:pgSz w:w="11909" w:h="16834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9BE" w:rsidRDefault="00F869BE" w:rsidP="00D94A8D">
      <w:r>
        <w:separator/>
      </w:r>
    </w:p>
  </w:endnote>
  <w:endnote w:type="continuationSeparator" w:id="0">
    <w:p w:rsidR="00F869BE" w:rsidRDefault="00F869BE" w:rsidP="00D94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9BE" w:rsidRDefault="00F869BE" w:rsidP="00D94A8D">
      <w:r w:rsidRPr="00D94A8D">
        <w:rPr>
          <w:color w:val="000000"/>
        </w:rPr>
        <w:separator/>
      </w:r>
    </w:p>
  </w:footnote>
  <w:footnote w:type="continuationSeparator" w:id="0">
    <w:p w:rsidR="00F869BE" w:rsidRDefault="00F869BE" w:rsidP="00D94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34B"/>
    <w:multiLevelType w:val="hybridMultilevel"/>
    <w:tmpl w:val="EA30B276"/>
    <w:lvl w:ilvl="0" w:tplc="EA4ABCD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A8D"/>
    <w:rsid w:val="000A6B38"/>
    <w:rsid w:val="001A77EC"/>
    <w:rsid w:val="003A5375"/>
    <w:rsid w:val="005E1FEC"/>
    <w:rsid w:val="006760E3"/>
    <w:rsid w:val="00982974"/>
    <w:rsid w:val="00B3184B"/>
    <w:rsid w:val="00D94A8D"/>
    <w:rsid w:val="00E848BD"/>
    <w:rsid w:val="00F8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en-US" w:eastAsia="en-US" w:bidi="en-US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A8D"/>
    <w:pPr>
      <w:suppressAutoHyphens/>
    </w:pPr>
  </w:style>
  <w:style w:type="paragraph" w:styleId="Titre1">
    <w:name w:val="heading 1"/>
    <w:basedOn w:val="Standard"/>
    <w:rsid w:val="00D94A8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Standard"/>
    <w:rsid w:val="00D94A8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Standard"/>
    <w:rsid w:val="00D94A8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Standard"/>
    <w:rsid w:val="00D94A8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Standard"/>
    <w:rsid w:val="00D94A8D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Standard"/>
    <w:rsid w:val="00D94A8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94A8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eading">
    <w:name w:val="Heading"/>
    <w:basedOn w:val="Standard"/>
    <w:next w:val="Textbody"/>
    <w:rsid w:val="00D94A8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D94A8D"/>
    <w:pPr>
      <w:spacing w:after="140" w:line="288" w:lineRule="auto"/>
    </w:pPr>
  </w:style>
  <w:style w:type="paragraph" w:customStyle="1" w:styleId="Aucuneliste1">
    <w:name w:val="Aucune liste1"/>
    <w:rsid w:val="00D94A8D"/>
    <w:pPr>
      <w:suppressAutoHyphens/>
    </w:pPr>
  </w:style>
  <w:style w:type="paragraph" w:styleId="Titre">
    <w:name w:val="Title"/>
    <w:basedOn w:val="Standard"/>
    <w:rsid w:val="00D94A8D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Standard"/>
    <w:rsid w:val="00D94A8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tribout</dc:creator>
  <cp:lastModifiedBy>gferrand</cp:lastModifiedBy>
  <cp:revision>5</cp:revision>
  <dcterms:created xsi:type="dcterms:W3CDTF">2016-07-07T09:53:00Z</dcterms:created>
  <dcterms:modified xsi:type="dcterms:W3CDTF">2016-07-07T10:01:00Z</dcterms:modified>
</cp:coreProperties>
</file>